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3E33" w14:textId="462E6A99" w:rsidR="00280B94" w:rsidRPr="00280B94" w:rsidRDefault="00280B94" w:rsidP="00280B94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80B94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</w:t>
      </w:r>
      <w:r w:rsidR="00AB5FA6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280B94">
        <w:rPr>
          <w:rFonts w:ascii="Times New Roman" w:hAnsi="Times New Roman" w:cs="Times New Roman"/>
          <w:noProof/>
          <w:sz w:val="28"/>
          <w:szCs w:val="28"/>
        </w:rPr>
        <w:t xml:space="preserve"> Проєкт №</w:t>
      </w:r>
      <w:r w:rsidR="00AB5FA6">
        <w:rPr>
          <w:rFonts w:ascii="Times New Roman" w:hAnsi="Times New Roman" w:cs="Times New Roman"/>
          <w:noProof/>
          <w:sz w:val="28"/>
          <w:szCs w:val="28"/>
        </w:rPr>
        <w:t xml:space="preserve"> 907</w:t>
      </w:r>
    </w:p>
    <w:p w14:paraId="6F081346" w14:textId="77777777" w:rsidR="00280B94" w:rsidRPr="00280B94" w:rsidRDefault="00280B94" w:rsidP="00280B94">
      <w:pPr>
        <w:suppressAutoHyphens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23D86216" w14:textId="77777777" w:rsidR="00280B94" w:rsidRPr="00280B94" w:rsidRDefault="00280B94" w:rsidP="00280B94">
      <w:pPr>
        <w:suppressAutoHyphens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F37B0FF" w14:textId="77777777" w:rsidR="00E02ADE" w:rsidRPr="00C003F2" w:rsidRDefault="00280B94" w:rsidP="00B54E0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звернення до</w:t>
      </w:r>
      <w:r w:rsidR="00B54E0B">
        <w:rPr>
          <w:rFonts w:eastAsia="Times New Roman"/>
          <w:color w:val="000000"/>
          <w:sz w:val="27"/>
          <w:szCs w:val="27"/>
          <w:lang w:val="ru-RU" w:eastAsia="ru-RU"/>
        </w:rPr>
        <w:t xml:space="preserve"> </w:t>
      </w:r>
      <w:r w:rsidR="00E02ADE" w:rsidRPr="00E02ADE">
        <w:rPr>
          <w:rFonts w:eastAsia="Times New Roman"/>
          <w:color w:val="000000"/>
          <w:sz w:val="27"/>
          <w:szCs w:val="27"/>
          <w:lang w:val="ru-RU" w:eastAsia="ru-RU"/>
        </w:rPr>
        <w:t xml:space="preserve"> 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Президента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Верховної</w:t>
      </w:r>
      <w:proofErr w:type="spellEnd"/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</w:p>
    <w:p w14:paraId="568DF9A8" w14:textId="77777777" w:rsidR="00E02ADE" w:rsidRPr="00B54E0B" w:rsidRDefault="00E02ADE" w:rsidP="00B54E0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proofErr w:type="gramEnd"/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безпеки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оборони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14:paraId="1FAF85C3" w14:textId="77777777" w:rsidR="00280B94" w:rsidRPr="00280B94" w:rsidRDefault="00280B94" w:rsidP="00B54E0B">
      <w:pPr>
        <w:suppressAutoHyphens/>
        <w:ind w:right="-426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щодо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підтримки</w:t>
      </w:r>
      <w:r w:rsidRPr="00DF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ADE" w:rsidRPr="00DF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ADE" w:rsidRPr="00DF68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E0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України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внесення змін до Закону 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України "Про Державний бюджет України на 2022 рік" щодо збільшення 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 на оборону та зміцнення обороноздатності держави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(6542 від 24.01.2022).</w:t>
      </w:r>
      <w:r w:rsidR="00E02ADE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BAB5A9D" w14:textId="77777777" w:rsidR="00280B94" w:rsidRPr="00280B94" w:rsidRDefault="00280B94" w:rsidP="00280B94">
      <w:pPr>
        <w:suppressAutoHyphens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67C00B87" w14:textId="77777777" w:rsidR="00280B94" w:rsidRPr="00280B94" w:rsidRDefault="00280B94" w:rsidP="00280B94">
      <w:pPr>
        <w:suppressAutoHyphens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 метою недопустимості пода</w:t>
      </w:r>
      <w:r w:rsidR="00B54E0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льшого зниження обороноздатності країни</w:t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керуючись ст. 25 Закону України «Про місцеве самоврядування в Україні», </w:t>
      </w:r>
      <w:proofErr w:type="spellStart"/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Славутська</w:t>
      </w:r>
      <w:proofErr w:type="spellEnd"/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міська рада ВИРІШИЛА:</w:t>
      </w:r>
    </w:p>
    <w:p w14:paraId="4D8739B8" w14:textId="77777777" w:rsidR="00280B94" w:rsidRPr="00280B94" w:rsidRDefault="00280B94" w:rsidP="00280B94">
      <w:pPr>
        <w:suppressAutoHyphens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57BE3576" w14:textId="77777777" w:rsidR="00280B94" w:rsidRPr="00E02ADE" w:rsidRDefault="00E02ADE" w:rsidP="00E02AD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280B94"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Схвалити </w:t>
      </w:r>
      <w:r w:rsid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звернення </w:t>
      </w:r>
      <w:r w:rsidR="00280B94" w:rsidRPr="00E02A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</w:t>
      </w:r>
      <w:r w:rsidRPr="00E02ADE">
        <w:rPr>
          <w:rFonts w:eastAsia="Times New Roman"/>
          <w:color w:val="000000"/>
          <w:sz w:val="27"/>
          <w:szCs w:val="27"/>
          <w:lang w:eastAsia="ru-RU"/>
        </w:rPr>
        <w:t xml:space="preserve">  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 Ради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</w:t>
      </w:r>
      <w:r w:rsidRPr="00E0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національної безпеки і оборони України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="00280B94"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щодо </w:t>
      </w:r>
      <w:r w:rsidR="0028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підтримки</w:t>
      </w:r>
      <w:r w:rsidR="00280B94" w:rsidRPr="00DF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0B94" w:rsidRPr="00DF6819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r w:rsidR="007B4A06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</w:t>
      </w:r>
      <w:r w:rsidR="007B4A06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7B4A06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Закону України "Про Державний бюджет України на 2022 рік" щодо збільшення видатків на оборону та зміцнення обороноздатності держави</w:t>
      </w:r>
      <w:r w:rsidR="007B4A06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7B4A06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(6542 від 24.01.2022</w:t>
      </w:r>
    </w:p>
    <w:p w14:paraId="3715E61B" w14:textId="77777777" w:rsidR="00280B94" w:rsidRPr="00280B94" w:rsidRDefault="00280B94" w:rsidP="00280B94">
      <w:pPr>
        <w:suppressAutoHyphens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Секретарю міської ради Світлані ФЕДОРЧУК направити  це рішення зі зверненням до інституцій, вказаних у п. 1 цього рішення.</w:t>
      </w:r>
    </w:p>
    <w:p w14:paraId="5E296569" w14:textId="77777777" w:rsidR="00280B94" w:rsidRPr="00280B94" w:rsidRDefault="00280B94" w:rsidP="00280B94">
      <w:pPr>
        <w:suppressAutoHyphens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Контроль за виконанням цього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КЛИМКОВЕЦЬКИЙ). </w:t>
      </w:r>
    </w:p>
    <w:p w14:paraId="7524518C" w14:textId="77777777" w:rsidR="00280B94" w:rsidRPr="00280B94" w:rsidRDefault="00280B94" w:rsidP="00280B94">
      <w:pPr>
        <w:suppressAutoHyphens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D5950FD" w14:textId="77777777" w:rsidR="00280B94" w:rsidRPr="00280B94" w:rsidRDefault="00280B94" w:rsidP="00280B94">
      <w:pPr>
        <w:suppressAutoHyphens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3684A764" w14:textId="77777777" w:rsidR="00280B94" w:rsidRPr="00280B94" w:rsidRDefault="00280B94" w:rsidP="00280B94">
      <w:pPr>
        <w:suppressAutoHyphens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Міський голова </w:t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</w:t>
      </w:r>
      <w:r w:rsidRPr="00280B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Василь СИДОР</w:t>
      </w:r>
    </w:p>
    <w:p w14:paraId="1A168AFC" w14:textId="77777777" w:rsidR="00206830" w:rsidRPr="00280B94" w:rsidRDefault="002068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DDEAF59" w14:textId="77777777" w:rsidR="00206830" w:rsidRPr="00280B94" w:rsidRDefault="002068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bookmarkStart w:id="0" w:name="_Hlk89682274"/>
    </w:p>
    <w:p w14:paraId="12F9E651" w14:textId="77777777" w:rsidR="0035423B" w:rsidRDefault="003542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bookmarkStart w:id="1" w:name="_Hlk89675582"/>
    </w:p>
    <w:p w14:paraId="18056401" w14:textId="77777777" w:rsidR="0035423B" w:rsidRDefault="003542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1DA4525" w14:textId="77777777" w:rsidR="0035423B" w:rsidRDefault="003542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D9B5A8E" w14:textId="77777777" w:rsidR="00206830" w:rsidRDefault="002068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BEDE9AD" w14:textId="77777777" w:rsidR="00A115BF" w:rsidRDefault="00A115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12A87DC" w14:textId="77777777" w:rsidR="00537481" w:rsidRPr="00225CC0" w:rsidRDefault="0053748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67AADFFB" w14:textId="77777777" w:rsidR="00A115BF" w:rsidRPr="00A115BF" w:rsidRDefault="00A115BF" w:rsidP="00A115BF">
      <w:pPr>
        <w:suppressAutoHyphens/>
        <w:ind w:left="5040" w:right="141"/>
        <w:jc w:val="right"/>
        <w:rPr>
          <w:rFonts w:ascii="Times New Roman" w:hAnsi="Times New Roman" w:cs="Times New Roman"/>
          <w:color w:val="000000"/>
          <w:szCs w:val="28"/>
          <w:lang w:eastAsia="ar-SA"/>
        </w:rPr>
      </w:pPr>
      <w:r w:rsidRPr="00A115BF">
        <w:rPr>
          <w:rFonts w:ascii="Times New Roman" w:hAnsi="Times New Roman" w:cs="Times New Roman"/>
          <w:color w:val="000000"/>
          <w:szCs w:val="28"/>
          <w:lang w:eastAsia="ar-SA"/>
        </w:rPr>
        <w:lastRenderedPageBreak/>
        <w:t xml:space="preserve">Додаток </w:t>
      </w:r>
    </w:p>
    <w:p w14:paraId="215F90F4" w14:textId="77777777" w:rsidR="00A115BF" w:rsidRPr="00A115BF" w:rsidRDefault="00A115BF" w:rsidP="00A115BF">
      <w:pPr>
        <w:suppressAutoHyphens/>
        <w:ind w:left="5040" w:right="141"/>
        <w:jc w:val="right"/>
        <w:rPr>
          <w:rFonts w:ascii="Times New Roman" w:hAnsi="Times New Roman" w:cs="Times New Roman"/>
          <w:color w:val="000000"/>
          <w:szCs w:val="28"/>
          <w:lang w:eastAsia="ar-SA"/>
        </w:rPr>
      </w:pPr>
      <w:r w:rsidRPr="00A115BF">
        <w:rPr>
          <w:rFonts w:ascii="Times New Roman" w:hAnsi="Times New Roman" w:cs="Times New Roman"/>
          <w:color w:val="000000"/>
          <w:szCs w:val="28"/>
          <w:lang w:eastAsia="ar-SA"/>
        </w:rPr>
        <w:t>до рішення Славутської міської ради</w:t>
      </w:r>
    </w:p>
    <w:p w14:paraId="6A48A247" w14:textId="77777777" w:rsidR="00A115BF" w:rsidRPr="00A115BF" w:rsidRDefault="00A115BF" w:rsidP="00A115BF">
      <w:pPr>
        <w:suppressAutoHyphens/>
        <w:ind w:left="5040" w:right="141"/>
        <w:jc w:val="right"/>
        <w:rPr>
          <w:rFonts w:ascii="Times New Roman" w:hAnsi="Times New Roman" w:cs="Times New Roman"/>
          <w:color w:val="000000"/>
          <w:szCs w:val="28"/>
          <w:lang w:eastAsia="ar-SA"/>
        </w:rPr>
      </w:pPr>
      <w:r w:rsidRPr="00A115BF">
        <w:rPr>
          <w:rFonts w:ascii="Times New Roman" w:hAnsi="Times New Roman" w:cs="Times New Roman"/>
          <w:color w:val="000000"/>
          <w:szCs w:val="28"/>
          <w:lang w:eastAsia="ar-SA"/>
        </w:rPr>
        <w:t>від  ___    __________ 202</w:t>
      </w:r>
      <w:r w:rsidR="00C003F2">
        <w:rPr>
          <w:rFonts w:ascii="Times New Roman" w:hAnsi="Times New Roman" w:cs="Times New Roman"/>
          <w:color w:val="000000"/>
          <w:szCs w:val="28"/>
          <w:lang w:val="en-US" w:eastAsia="ar-SA"/>
        </w:rPr>
        <w:t>2</w:t>
      </w:r>
      <w:r w:rsidRPr="00A115BF">
        <w:rPr>
          <w:rFonts w:ascii="Times New Roman" w:hAnsi="Times New Roman" w:cs="Times New Roman"/>
          <w:color w:val="000000"/>
          <w:szCs w:val="28"/>
          <w:lang w:eastAsia="ar-SA"/>
        </w:rPr>
        <w:t xml:space="preserve"> року</w:t>
      </w:r>
    </w:p>
    <w:p w14:paraId="7F865C20" w14:textId="77777777" w:rsidR="00A115BF" w:rsidRPr="00C003F2" w:rsidRDefault="00A115BF" w:rsidP="00A115B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Cs w:val="28"/>
          <w:lang w:eastAsia="ar-SA"/>
        </w:rPr>
        <w:t xml:space="preserve">                                                                       </w:t>
      </w:r>
      <w:r w:rsidRPr="00A115BF">
        <w:rPr>
          <w:rFonts w:ascii="Times New Roman" w:hAnsi="Times New Roman" w:cs="Times New Roman"/>
          <w:color w:val="000000"/>
          <w:szCs w:val="28"/>
          <w:lang w:eastAsia="ar-SA"/>
        </w:rPr>
        <w:t>№ ____-11/202</w:t>
      </w:r>
      <w:r w:rsidR="00C003F2">
        <w:rPr>
          <w:rFonts w:ascii="Times New Roman" w:hAnsi="Times New Roman" w:cs="Times New Roman"/>
          <w:color w:val="000000"/>
          <w:szCs w:val="28"/>
          <w:lang w:eastAsia="ar-SA"/>
        </w:rPr>
        <w:t>2</w:t>
      </w:r>
    </w:p>
    <w:bookmarkEnd w:id="0"/>
    <w:bookmarkEnd w:id="1"/>
    <w:p w14:paraId="60892BC3" w14:textId="77777777" w:rsidR="00C003F2" w:rsidRDefault="00C003F2" w:rsidP="00C003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Times New Roman"/>
          <w:color w:val="000000"/>
          <w:sz w:val="27"/>
          <w:szCs w:val="27"/>
          <w:lang w:val="en-US" w:eastAsia="ru-RU"/>
        </w:rPr>
      </w:pPr>
      <w:r>
        <w:rPr>
          <w:rFonts w:eastAsia="Times New Roman"/>
          <w:color w:val="000000"/>
          <w:sz w:val="27"/>
          <w:szCs w:val="27"/>
          <w:lang w:val="en-US" w:eastAsia="ru-RU"/>
        </w:rPr>
        <w:t xml:space="preserve">       </w:t>
      </w:r>
    </w:p>
    <w:p w14:paraId="0960C6AA" w14:textId="77777777" w:rsidR="00C003F2" w:rsidRPr="00C003F2" w:rsidRDefault="00C003F2" w:rsidP="00C003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/>
          <w:color w:val="000000"/>
          <w:sz w:val="27"/>
          <w:szCs w:val="27"/>
          <w:lang w:val="en-US" w:eastAsia="ru-RU"/>
        </w:rPr>
        <w:t xml:space="preserve">            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Президентові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14:paraId="60B20DAB" w14:textId="77777777" w:rsidR="00C003F2" w:rsidRPr="00C003F2" w:rsidRDefault="00C003F2" w:rsidP="00C003F2">
      <w:pPr>
        <w:shd w:val="clear" w:color="auto" w:fill="FFFFFF"/>
        <w:spacing w:line="32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Верховній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Раді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</w:p>
    <w:p w14:paraId="29C355E1" w14:textId="77777777" w:rsidR="00C003F2" w:rsidRPr="00C003F2" w:rsidRDefault="00C003F2" w:rsidP="00C003F2">
      <w:pPr>
        <w:shd w:val="clear" w:color="auto" w:fill="FFFFFF"/>
        <w:spacing w:line="32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</w:p>
    <w:p w14:paraId="45C25CC6" w14:textId="77777777" w:rsidR="00C003F2" w:rsidRPr="00C003F2" w:rsidRDefault="00C003F2" w:rsidP="00C003F2">
      <w:pPr>
        <w:shd w:val="clear" w:color="auto" w:fill="FFFFFF"/>
        <w:spacing w:line="324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Раді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безпеки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і оборони </w:t>
      </w:r>
      <w:proofErr w:type="spellStart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14:paraId="4C6DEF12" w14:textId="77777777" w:rsidR="00C003F2" w:rsidRPr="00C003F2" w:rsidRDefault="00C003F2" w:rsidP="00C003F2">
      <w:pPr>
        <w:shd w:val="clear" w:color="auto" w:fill="FFFFFF"/>
        <w:spacing w:line="324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14:paraId="307968E5" w14:textId="77777777" w:rsidR="00E02ADE" w:rsidRPr="00E02ADE" w:rsidRDefault="00C003F2" w:rsidP="00C003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Arial" w:hAnsi="Times New Roman" w:cs="Times New Roman"/>
          <w:b/>
          <w:i/>
          <w:color w:val="000000" w:themeColor="text1"/>
          <w:sz w:val="36"/>
          <w:szCs w:val="36"/>
        </w:rPr>
      </w:pPr>
      <w:r w:rsidRPr="00C003F2">
        <w:rPr>
          <w:rFonts w:ascii="Arial" w:eastAsia="Times New Roman" w:hAnsi="Arial" w:cs="Arial"/>
          <w:color w:val="000000"/>
          <w:sz w:val="36"/>
          <w:szCs w:val="36"/>
          <w:lang w:val="en-US" w:eastAsia="ru-RU"/>
        </w:rPr>
        <w:t> </w:t>
      </w:r>
      <w:r w:rsidRPr="00E02ADE">
        <w:rPr>
          <w:rFonts w:ascii="Times New Roman" w:eastAsia="Arial" w:hAnsi="Times New Roman" w:cs="Times New Roman"/>
          <w:b/>
          <w:i/>
          <w:color w:val="000000" w:themeColor="text1"/>
          <w:sz w:val="36"/>
          <w:szCs w:val="36"/>
        </w:rPr>
        <w:t xml:space="preserve">Звернення </w:t>
      </w:r>
    </w:p>
    <w:p w14:paraId="3CB9ED7C" w14:textId="77777777" w:rsidR="00C003F2" w:rsidRPr="00E02ADE" w:rsidRDefault="00E02ADE" w:rsidP="00C003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  <w:r w:rsidRPr="00E02ADE">
        <w:rPr>
          <w:rFonts w:ascii="Times New Roman" w:eastAsia="Arial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02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підтримку </w:t>
      </w:r>
      <w:r w:rsidRPr="00E02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</w:t>
      </w:r>
      <w:r w:rsidRPr="00E02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Закону України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внесення змін до Закону України "Про Державний бюджет України на 2022 рік" щодо збільшення видатків на оборону та зміцнення обороноздатності держави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(6542 від 24.01.2022).</w:t>
      </w:r>
      <w:r w:rsidRPr="00C00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14:paraId="43D89526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val="ru-RU" w:eastAsia="ru-RU"/>
        </w:rPr>
      </w:pPr>
    </w:p>
    <w:p w14:paraId="66DEAA3E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2A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proofErr w:type="gram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</w:t>
      </w:r>
      <w:proofErr w:type="gram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українських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кордонів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зосереджено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понад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100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тис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військових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Федерації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сотні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одиниць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бронетехніки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важко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переоцінити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важливість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оборони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07360BC1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 «Про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ключові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виконавці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оборони.</w:t>
      </w:r>
    </w:p>
    <w:p w14:paraId="3F6DAEEC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той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самий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посадових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оборони, секретаря РНБО –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лунають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абсолютно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незрозумілі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зверхні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заяви,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принижують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неприпустимо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реальних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загроз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національній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безпеці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Крім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того,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 Президент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</w:t>
      </w:r>
      <w:proofErr w:type="spellEnd"/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Зеленський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РНБО, і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профільні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центральні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фактично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самоусунулися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 «Про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- як в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організаційного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так і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матеріально-фінансового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Без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ресурсного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інститут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 не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працювати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покрити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оборону,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підготовку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Адже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покладено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невластиві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компенсації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різниці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тарифів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Зростання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цін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енергоносії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наступне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здорожчання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товарів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суттєво</w:t>
      </w:r>
      <w:proofErr w:type="spellEnd"/>
      <w:proofErr w:type="gram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підвищують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вартість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соціального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DDC7C55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неготовність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керівництва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чергових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хвиль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епідемії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коронавірусної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хвороби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щоразу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покладає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задачу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порятунку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хворих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лікарень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виплат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медиків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виконання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задавненої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обіцянки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Володимира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Зеленського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заробітних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 медикам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намір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перекласти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3E9AB899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0A898D4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Тим часом уже очевидно,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плануванні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Державного бюджету на 2022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Верховна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Рада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заклали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завищені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доходів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6EFBCF49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Уряд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запланував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рекордні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доходи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2022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обсягом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630 млрд. грн., з них 437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млрд.грн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–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доходи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D4C0E4B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Але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декади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нового року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продемонстрували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надміруоптимістичними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За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даними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казначейської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запланованих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січень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28 344,7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млн.грн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доходів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загальному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фонду станом на 21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2022 року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13 958,2 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млн.грн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тобто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49%.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Зрозуміло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січні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побачимо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відхилення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плану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надходжень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9CD26F0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4E5BC145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Обсяг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міжбюджетних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трансфертів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місцевим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бюджетам на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делегованих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витримують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жодної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критики – вони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занижені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112461D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всупереч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142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Конституції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передбачає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витрати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виникли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внаслідок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компенсуються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державою.</w:t>
      </w:r>
      <w:r w:rsidR="007B4A06"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Особливо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кризова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на районному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рівні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ст.14 Закону,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районні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</w:t>
      </w:r>
      <w:bookmarkStart w:id="2" w:name="m_-1834746551332946969_n160"/>
      <w:bookmarkStart w:id="3" w:name="m_-1834746551332946969_n161"/>
      <w:bookmarkEnd w:id="2"/>
      <w:bookmarkEnd w:id="3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забезпечують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межах</w:t>
      </w:r>
      <w:proofErr w:type="gram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належне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значення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bookmarkStart w:id="4" w:name="m_-1834746551332946969_n162"/>
      <w:bookmarkEnd w:id="4"/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сприяють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створенню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добровольчих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формувань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територіальних</w:t>
      </w:r>
      <w:proofErr w:type="spellEnd"/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громад. </w:t>
      </w:r>
    </w:p>
    <w:p w14:paraId="25189C68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жаль,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попередня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привела до того,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бюджетах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навіть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самих рад;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виключення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районних</w:t>
      </w:r>
      <w:proofErr w:type="spellEnd"/>
      <w:r w:rsidR="00C003F2"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бюджетів</w:t>
      </w:r>
      <w:proofErr w:type="spellEnd"/>
      <w:proofErr w:type="gram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C003F2"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горизонтального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вирівнювання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позбавляє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реально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у заходах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оборони.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означає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реалізація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Закону «Про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бути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повністю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провалена,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немає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C34FB67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579D6C0B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цьому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зв’язку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звертаємось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Вас з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вимогою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терміново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розробити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 Закону 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внесення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2022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з метою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Закону «Про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 </w:t>
      </w:r>
    </w:p>
    <w:p w14:paraId="4D46C2BA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EA94684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час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розробки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прийняття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комплексного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рішення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вимагаємо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підтримати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 Закону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внесення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"Про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Державний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2022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збільшення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видатків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оборону та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зміцнення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обороноздатності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(6542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24.01.2022). Ним,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зокрема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встановлюється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обов’язок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десяти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дня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набрання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чинності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забезпечити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виділення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резервного фонду Державного бюджету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300.000,0 тис.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гривень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потреб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оборони.</w:t>
      </w:r>
    </w:p>
    <w:p w14:paraId="2F0313D7" w14:textId="77777777" w:rsidR="00C003F2" w:rsidRPr="00C003F2" w:rsidRDefault="00C003F2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14:paraId="241CE970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кварталі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спротиву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Бездіяльність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саботаж.</w:t>
      </w:r>
    </w:p>
    <w:p w14:paraId="0434285C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proofErr w:type="gram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час</w:t>
      </w:r>
      <w:proofErr w:type="gram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смертельної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загрози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боку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держави-агресора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Федерації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ми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закликаємо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консолідації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державницьких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сил, до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припинення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політичних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воєн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знищення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5FFD0D83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закликаємо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Президента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вилучити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арсеналу практику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політично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мотивованого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кримінального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переслідування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</w:p>
    <w:p w14:paraId="09FC4E5C" w14:textId="77777777" w:rsidR="00C003F2" w:rsidRPr="00C003F2" w:rsidRDefault="007B4A06" w:rsidP="00C003F2">
      <w:pPr>
        <w:shd w:val="clear" w:color="auto" w:fill="FFFFFF"/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B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Сьогодні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і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армія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 в одному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окопі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 І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лише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разом </w:t>
      </w:r>
      <w:proofErr w:type="spellStart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стримаємо</w:t>
      </w:r>
      <w:proofErr w:type="spellEnd"/>
      <w:r w:rsidR="00C003F2" w:rsidRPr="00C003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ворога.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917"/>
      </w:tblGrid>
      <w:tr w:rsidR="00C003F2" w:rsidRPr="00C003F2" w14:paraId="64DE97E7" w14:textId="77777777" w:rsidTr="00C003F2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2F56C4E3" w14:textId="77777777" w:rsidR="00C003F2" w:rsidRPr="00C003F2" w:rsidRDefault="00C003F2" w:rsidP="00C003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C0B69" w14:textId="77777777" w:rsidR="00C003F2" w:rsidRPr="00C003F2" w:rsidRDefault="00C003F2" w:rsidP="00C003F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</w:tr>
    </w:tbl>
    <w:p w14:paraId="4A76742D" w14:textId="77777777" w:rsidR="00206830" w:rsidRPr="00225CC0" w:rsidRDefault="002068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6830" w:rsidRPr="00225CC0" w:rsidSect="002A47EB">
      <w:pgSz w:w="11906" w:h="16838"/>
      <w:pgMar w:top="1440" w:right="991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7DA2"/>
    <w:multiLevelType w:val="multilevel"/>
    <w:tmpl w:val="EFBA706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D96F0D"/>
    <w:multiLevelType w:val="multilevel"/>
    <w:tmpl w:val="08D65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30"/>
    <w:rsid w:val="0003043B"/>
    <w:rsid w:val="0005368A"/>
    <w:rsid w:val="0019623B"/>
    <w:rsid w:val="001D6184"/>
    <w:rsid w:val="001D7811"/>
    <w:rsid w:val="00206830"/>
    <w:rsid w:val="00225CC0"/>
    <w:rsid w:val="00280B94"/>
    <w:rsid w:val="002A47EB"/>
    <w:rsid w:val="0035423B"/>
    <w:rsid w:val="0039120C"/>
    <w:rsid w:val="00440739"/>
    <w:rsid w:val="004A1780"/>
    <w:rsid w:val="004B5E9D"/>
    <w:rsid w:val="00537481"/>
    <w:rsid w:val="005C6403"/>
    <w:rsid w:val="006139D5"/>
    <w:rsid w:val="007B4A06"/>
    <w:rsid w:val="00812765"/>
    <w:rsid w:val="009507E8"/>
    <w:rsid w:val="0095248E"/>
    <w:rsid w:val="00A115BF"/>
    <w:rsid w:val="00AB5FA6"/>
    <w:rsid w:val="00B54E0B"/>
    <w:rsid w:val="00C003F2"/>
    <w:rsid w:val="00CE6BBA"/>
    <w:rsid w:val="00DC34FC"/>
    <w:rsid w:val="00DF6819"/>
    <w:rsid w:val="00E02ADE"/>
    <w:rsid w:val="00E93F25"/>
    <w:rsid w:val="00F511B6"/>
    <w:rsid w:val="00F900E7"/>
    <w:rsid w:val="00FD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9AE1"/>
  <w15:docId w15:val="{436F73AE-9381-4DD6-8B5B-A5E36BDF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84"/>
  </w:style>
  <w:style w:type="paragraph" w:styleId="1">
    <w:name w:val="heading 1"/>
    <w:basedOn w:val="a"/>
    <w:next w:val="a"/>
    <w:uiPriority w:val="9"/>
    <w:qFormat/>
    <w:rsid w:val="001D6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D6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uiPriority w:val="9"/>
    <w:semiHidden/>
    <w:unhideWhenUsed/>
    <w:qFormat/>
    <w:rsid w:val="001D61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1D61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D61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D61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6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D61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1D618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11">
    <w:name w:val="Основной шрифт абзаца1"/>
    <w:rsid w:val="001D6184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rsid w:val="001D61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rsid w:val="001D6184"/>
  </w:style>
  <w:style w:type="paragraph" w:styleId="a4">
    <w:name w:val="List Paragraph"/>
    <w:basedOn w:val="10"/>
    <w:uiPriority w:val="34"/>
    <w:qFormat/>
    <w:rsid w:val="001D6184"/>
    <w:pPr>
      <w:ind w:left="720"/>
    </w:pPr>
  </w:style>
  <w:style w:type="character" w:customStyle="1" w:styleId="Heading3Char">
    <w:name w:val="Heading 3 Char"/>
    <w:basedOn w:val="11"/>
    <w:rsid w:val="001D6184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a5">
    <w:name w:val="Subtitle"/>
    <w:basedOn w:val="a"/>
    <w:next w:val="a"/>
    <w:uiPriority w:val="11"/>
    <w:qFormat/>
    <w:rsid w:val="001D6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A178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1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003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ms">
    <w:name w:val="ams"/>
    <w:basedOn w:val="a0"/>
    <w:rsid w:val="00C0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QGoDCr84yhhvMOepjlkiV6MYQ==">AMUW2mUCeu5tdRLtxx0AqsdI6vtd3L4aZcafGlN2jpyP/bmO/AlM353Vj7hH3ZFzfukkYF0Sq/M6mDtHi/k5fBE5fMv4lj1T5iuRXaku1N2fnW8TQX8GBQY=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4421</Words>
  <Characters>2521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Svitlana</cp:lastModifiedBy>
  <cp:revision>3</cp:revision>
  <dcterms:created xsi:type="dcterms:W3CDTF">2022-02-04T06:17:00Z</dcterms:created>
  <dcterms:modified xsi:type="dcterms:W3CDTF">2022-02-04T06:17:00Z</dcterms:modified>
</cp:coreProperties>
</file>