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E870" w14:textId="77777777" w:rsidR="00CE2CF8" w:rsidRPr="00CE2CF8" w:rsidRDefault="00CE2CF8" w:rsidP="00CE2CF8">
      <w:pPr>
        <w:jc w:val="center"/>
        <w:rPr>
          <w:noProof/>
          <w:sz w:val="28"/>
          <w:szCs w:val="28"/>
        </w:rPr>
      </w:pPr>
    </w:p>
    <w:p w14:paraId="6ADFC06B" w14:textId="77777777" w:rsidR="00011692" w:rsidRPr="00011692" w:rsidRDefault="00011692" w:rsidP="00011692">
      <w:pPr>
        <w:ind w:firstLine="567"/>
        <w:jc w:val="center"/>
        <w:rPr>
          <w:noProof/>
          <w:sz w:val="28"/>
          <w:szCs w:val="28"/>
          <w:lang w:val="en-US"/>
        </w:rPr>
      </w:pPr>
      <w:r w:rsidRPr="00011692">
        <w:rPr>
          <w:noProof/>
          <w:sz w:val="28"/>
          <w:szCs w:val="28"/>
          <w:lang w:val="ru-RU"/>
        </w:rPr>
        <w:drawing>
          <wp:inline distT="0" distB="0" distL="0" distR="0" wp14:anchorId="39626A0F" wp14:editId="0F8B8184">
            <wp:extent cx="504825" cy="647700"/>
            <wp:effectExtent l="0" t="0" r="9525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5C002" w14:textId="77777777" w:rsidR="00011692" w:rsidRPr="00011692" w:rsidRDefault="00011692" w:rsidP="00011692">
      <w:pPr>
        <w:ind w:firstLine="567"/>
        <w:jc w:val="center"/>
        <w:rPr>
          <w:noProof/>
          <w:sz w:val="28"/>
          <w:szCs w:val="28"/>
          <w:lang w:val="en-US"/>
        </w:rPr>
      </w:pPr>
    </w:p>
    <w:p w14:paraId="1D03DF60" w14:textId="77777777" w:rsidR="00011692" w:rsidRPr="00011692" w:rsidRDefault="00011692" w:rsidP="00011692">
      <w:pPr>
        <w:ind w:firstLine="567"/>
        <w:jc w:val="center"/>
        <w:rPr>
          <w:b/>
          <w:sz w:val="28"/>
          <w:szCs w:val="28"/>
        </w:rPr>
      </w:pPr>
      <w:r w:rsidRPr="00011692">
        <w:rPr>
          <w:b/>
          <w:sz w:val="28"/>
          <w:szCs w:val="28"/>
        </w:rPr>
        <w:t>СЛАВУТСЬКА    МІСЬКА    РАДА</w:t>
      </w:r>
    </w:p>
    <w:p w14:paraId="389D26C4" w14:textId="77777777" w:rsidR="00011692" w:rsidRPr="00011692" w:rsidRDefault="00011692" w:rsidP="00011692">
      <w:pPr>
        <w:ind w:firstLine="567"/>
        <w:jc w:val="center"/>
        <w:rPr>
          <w:b/>
          <w:sz w:val="28"/>
          <w:szCs w:val="28"/>
        </w:rPr>
      </w:pPr>
      <w:r w:rsidRPr="00011692">
        <w:rPr>
          <w:b/>
          <w:sz w:val="28"/>
          <w:szCs w:val="28"/>
        </w:rPr>
        <w:t>ХМЕЛЬНИЦЬКОЇ    ОБЛАСТІ</w:t>
      </w:r>
    </w:p>
    <w:p w14:paraId="7FE4EC37" w14:textId="77777777" w:rsidR="00011692" w:rsidRPr="00011692" w:rsidRDefault="00011692" w:rsidP="00011692">
      <w:pPr>
        <w:ind w:firstLine="567"/>
        <w:jc w:val="center"/>
        <w:rPr>
          <w:b/>
          <w:sz w:val="28"/>
          <w:szCs w:val="28"/>
        </w:rPr>
      </w:pPr>
      <w:r w:rsidRPr="00011692">
        <w:rPr>
          <w:b/>
          <w:sz w:val="28"/>
          <w:szCs w:val="28"/>
        </w:rPr>
        <w:t>Р І Ш Е Н Н Я</w:t>
      </w:r>
    </w:p>
    <w:p w14:paraId="0C46F0F8" w14:textId="77777777" w:rsidR="00011692" w:rsidRPr="00011692" w:rsidRDefault="00011692" w:rsidP="00011692">
      <w:pPr>
        <w:ind w:firstLine="567"/>
        <w:jc w:val="center"/>
        <w:rPr>
          <w:b/>
          <w:sz w:val="28"/>
          <w:szCs w:val="28"/>
        </w:rPr>
      </w:pPr>
      <w:r w:rsidRPr="00011692">
        <w:rPr>
          <w:b/>
          <w:sz w:val="28"/>
          <w:szCs w:val="28"/>
        </w:rPr>
        <w:t xml:space="preserve">17 сесії міської ради </w:t>
      </w:r>
      <w:r w:rsidRPr="00011692">
        <w:rPr>
          <w:sz w:val="28"/>
          <w:szCs w:val="28"/>
        </w:rPr>
        <w:t xml:space="preserve"> </w:t>
      </w:r>
      <w:r w:rsidRPr="00011692">
        <w:rPr>
          <w:b/>
          <w:sz w:val="28"/>
          <w:szCs w:val="28"/>
          <w:lang w:val="en-US"/>
        </w:rPr>
        <w:t>V</w:t>
      </w:r>
      <w:r w:rsidRPr="00011692">
        <w:rPr>
          <w:b/>
          <w:sz w:val="28"/>
          <w:szCs w:val="28"/>
        </w:rPr>
        <w:t>ІІІ</w:t>
      </w:r>
      <w:r w:rsidRPr="00011692">
        <w:rPr>
          <w:sz w:val="28"/>
          <w:szCs w:val="28"/>
        </w:rPr>
        <w:t xml:space="preserve"> </w:t>
      </w:r>
      <w:r w:rsidRPr="00011692">
        <w:rPr>
          <w:b/>
          <w:sz w:val="28"/>
          <w:szCs w:val="28"/>
        </w:rPr>
        <w:t>скликання</w:t>
      </w:r>
    </w:p>
    <w:p w14:paraId="18971EA8" w14:textId="77777777" w:rsidR="00011692" w:rsidRPr="00011692" w:rsidRDefault="00011692" w:rsidP="00011692">
      <w:pPr>
        <w:ind w:firstLine="567"/>
        <w:jc w:val="center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011692" w:rsidRPr="00011692" w14:paraId="543B6EEC" w14:textId="77777777" w:rsidTr="00011692">
        <w:tc>
          <w:tcPr>
            <w:tcW w:w="3226" w:type="dxa"/>
          </w:tcPr>
          <w:p w14:paraId="787FCE39" w14:textId="77777777" w:rsidR="00011692" w:rsidRPr="00011692" w:rsidRDefault="00011692" w:rsidP="00011692">
            <w:pPr>
              <w:ind w:firstLine="567"/>
              <w:jc w:val="center"/>
              <w:rPr>
                <w:sz w:val="28"/>
                <w:szCs w:val="28"/>
              </w:rPr>
            </w:pPr>
            <w:r w:rsidRPr="00011692">
              <w:rPr>
                <w:sz w:val="28"/>
                <w:szCs w:val="28"/>
              </w:rPr>
              <w:t>2</w:t>
            </w:r>
            <w:r w:rsidRPr="00011692">
              <w:rPr>
                <w:sz w:val="28"/>
                <w:szCs w:val="28"/>
                <w:lang w:val="en-US"/>
              </w:rPr>
              <w:t xml:space="preserve">2 </w:t>
            </w:r>
            <w:r w:rsidRPr="00011692">
              <w:rPr>
                <w:sz w:val="28"/>
                <w:szCs w:val="28"/>
              </w:rPr>
              <w:t>квітня 2022р.</w:t>
            </w:r>
          </w:p>
          <w:p w14:paraId="5A174D94" w14:textId="77777777" w:rsidR="00011692" w:rsidRPr="00011692" w:rsidRDefault="00011692" w:rsidP="00011692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14:paraId="4B07FDC2" w14:textId="77777777" w:rsidR="00011692" w:rsidRPr="00011692" w:rsidRDefault="00011692" w:rsidP="00011692">
            <w:pPr>
              <w:ind w:firstLine="567"/>
              <w:jc w:val="center"/>
              <w:rPr>
                <w:sz w:val="28"/>
                <w:szCs w:val="28"/>
              </w:rPr>
            </w:pPr>
            <w:r w:rsidRPr="00011692">
              <w:rPr>
                <w:sz w:val="28"/>
                <w:szCs w:val="28"/>
              </w:rPr>
              <w:t>Славута</w:t>
            </w:r>
          </w:p>
        </w:tc>
        <w:tc>
          <w:tcPr>
            <w:tcW w:w="3190" w:type="dxa"/>
          </w:tcPr>
          <w:p w14:paraId="0C9ED0E6" w14:textId="12DFB3FE" w:rsidR="00011692" w:rsidRPr="00011692" w:rsidRDefault="00011692" w:rsidP="00011692">
            <w:pPr>
              <w:ind w:firstLine="567"/>
              <w:jc w:val="center"/>
              <w:rPr>
                <w:sz w:val="28"/>
                <w:szCs w:val="28"/>
                <w:lang w:val="ru-RU"/>
              </w:rPr>
            </w:pPr>
            <w:r w:rsidRPr="0001169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25</w:t>
            </w:r>
            <w:r w:rsidRPr="00011692">
              <w:rPr>
                <w:sz w:val="28"/>
                <w:szCs w:val="28"/>
              </w:rPr>
              <w:t>-17/2022</w:t>
            </w:r>
          </w:p>
          <w:p w14:paraId="43C0BDBA" w14:textId="77777777" w:rsidR="00011692" w:rsidRPr="00011692" w:rsidRDefault="00011692" w:rsidP="00011692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14:paraId="6BAE0681" w14:textId="524021E4" w:rsidR="00042DBF" w:rsidRDefault="00555CC4" w:rsidP="00555CC4">
      <w:pPr>
        <w:rPr>
          <w:sz w:val="28"/>
          <w:szCs w:val="28"/>
        </w:rPr>
      </w:pPr>
      <w:r>
        <w:rPr>
          <w:sz w:val="28"/>
          <w:szCs w:val="28"/>
        </w:rPr>
        <w:t>Про затвердження</w:t>
      </w:r>
      <w:r w:rsidR="00042DBF">
        <w:rPr>
          <w:sz w:val="28"/>
          <w:szCs w:val="28"/>
        </w:rPr>
        <w:t xml:space="preserve"> </w:t>
      </w:r>
      <w:r w:rsidR="00362D50">
        <w:rPr>
          <w:sz w:val="28"/>
          <w:szCs w:val="28"/>
        </w:rPr>
        <w:t>оновленого посадового</w:t>
      </w:r>
      <w:r>
        <w:rPr>
          <w:sz w:val="28"/>
          <w:szCs w:val="28"/>
        </w:rPr>
        <w:t xml:space="preserve"> складу </w:t>
      </w:r>
    </w:p>
    <w:p w14:paraId="7A3BF866" w14:textId="0E3C7AFA" w:rsidR="00555CC4" w:rsidRDefault="00555CC4" w:rsidP="00042DBF">
      <w:pPr>
        <w:rPr>
          <w:sz w:val="28"/>
          <w:szCs w:val="28"/>
        </w:rPr>
      </w:pPr>
      <w:r>
        <w:rPr>
          <w:sz w:val="28"/>
          <w:szCs w:val="28"/>
        </w:rPr>
        <w:t xml:space="preserve">Державної надзвичайної  протиепізоотичної </w:t>
      </w:r>
    </w:p>
    <w:p w14:paraId="69B565C0" w14:textId="77777777" w:rsidR="00555CC4" w:rsidRDefault="00555CC4" w:rsidP="00555CC4">
      <w:pPr>
        <w:rPr>
          <w:sz w:val="28"/>
          <w:szCs w:val="28"/>
        </w:rPr>
      </w:pPr>
      <w:r>
        <w:rPr>
          <w:sz w:val="28"/>
          <w:szCs w:val="28"/>
        </w:rPr>
        <w:t>комісії при Славутській міській раді</w:t>
      </w:r>
    </w:p>
    <w:p w14:paraId="6F0D6AF6" w14:textId="77777777" w:rsidR="00555CC4" w:rsidRDefault="00555CC4" w:rsidP="00555CC4">
      <w:pPr>
        <w:rPr>
          <w:sz w:val="28"/>
          <w:szCs w:val="28"/>
        </w:rPr>
      </w:pPr>
    </w:p>
    <w:p w14:paraId="70CD5501" w14:textId="12C78937" w:rsidR="00555CC4" w:rsidRDefault="00555CC4" w:rsidP="00555C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зв’язку із кадровими змінами у виконавчих органах Славутської міської ради,  організаціях, установах та підприємствах відповідно до </w:t>
      </w:r>
      <w:r w:rsidR="0050568A">
        <w:rPr>
          <w:sz w:val="28"/>
          <w:szCs w:val="28"/>
        </w:rPr>
        <w:t>частини</w:t>
      </w:r>
      <w:r>
        <w:rPr>
          <w:sz w:val="28"/>
          <w:szCs w:val="28"/>
        </w:rPr>
        <w:t xml:space="preserve"> 6 статті 41 Закону України «Про ветеринарну медицину», на виконання Постанови Кабінету Міністрів України від 21.11.2007р. №1350 «Про затвердження Положення про Державну надзвичайну протиепізоотичну комісію при Кабінеті Міністрів України та типових положень про місцеві державні надзвичайні протиепізоотичні комісії», керуючись статтями 25,</w:t>
      </w:r>
      <w:r w:rsidR="00F72657">
        <w:rPr>
          <w:sz w:val="28"/>
          <w:szCs w:val="28"/>
        </w:rPr>
        <w:t xml:space="preserve"> </w:t>
      </w:r>
      <w:r>
        <w:rPr>
          <w:sz w:val="28"/>
          <w:szCs w:val="28"/>
        </w:rPr>
        <w:t>59 Закону України «Про місцеве самоврядування в Україні», Славутська міська рада ВИРІШИЛА:</w:t>
      </w:r>
    </w:p>
    <w:p w14:paraId="1042E819" w14:textId="676762E6" w:rsidR="00555CC4" w:rsidRDefault="00555CC4" w:rsidP="00555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1.Затвердити</w:t>
      </w:r>
      <w:r w:rsidR="00D85287">
        <w:rPr>
          <w:sz w:val="28"/>
          <w:szCs w:val="28"/>
        </w:rPr>
        <w:t xml:space="preserve"> </w:t>
      </w:r>
      <w:r w:rsidR="00362D50">
        <w:rPr>
          <w:sz w:val="28"/>
          <w:szCs w:val="28"/>
        </w:rPr>
        <w:t>оновлений посадовий</w:t>
      </w:r>
      <w:r>
        <w:rPr>
          <w:sz w:val="28"/>
          <w:szCs w:val="28"/>
        </w:rPr>
        <w:t xml:space="preserve"> склад Державної надзвичайної протиепізоотичної комісії при Славутській міській раді згідно додатку.</w:t>
      </w:r>
    </w:p>
    <w:p w14:paraId="71CECDBD" w14:textId="09323FFF" w:rsidR="00555CC4" w:rsidRDefault="00555CC4" w:rsidP="001639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рішення Славутської міської ради від </w:t>
      </w:r>
      <w:r w:rsidR="0016395A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395A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16395A">
        <w:rPr>
          <w:sz w:val="28"/>
          <w:szCs w:val="28"/>
        </w:rPr>
        <w:t>20</w:t>
      </w:r>
      <w:r>
        <w:rPr>
          <w:sz w:val="28"/>
          <w:szCs w:val="28"/>
        </w:rPr>
        <w:t>р. №</w:t>
      </w:r>
      <w:r w:rsidR="0016395A">
        <w:rPr>
          <w:sz w:val="28"/>
          <w:szCs w:val="28"/>
        </w:rPr>
        <w:t>25-49/2020</w:t>
      </w:r>
      <w:r>
        <w:rPr>
          <w:sz w:val="28"/>
          <w:szCs w:val="28"/>
        </w:rPr>
        <w:t xml:space="preserve"> «</w:t>
      </w:r>
      <w:r w:rsidR="0016395A" w:rsidRPr="0016395A">
        <w:rPr>
          <w:sz w:val="28"/>
          <w:szCs w:val="28"/>
        </w:rPr>
        <w:t>Про затвердження складу Державної надзвичайної  протиепізоотичної комісії при Славутській міській раді</w:t>
      </w:r>
      <w:r>
        <w:rPr>
          <w:sz w:val="28"/>
          <w:szCs w:val="28"/>
        </w:rPr>
        <w:t xml:space="preserve">» </w:t>
      </w:r>
      <w:r w:rsidR="0050568A">
        <w:rPr>
          <w:sz w:val="28"/>
          <w:szCs w:val="28"/>
        </w:rPr>
        <w:t xml:space="preserve"> визнати </w:t>
      </w:r>
      <w:r>
        <w:rPr>
          <w:sz w:val="28"/>
          <w:szCs w:val="28"/>
        </w:rPr>
        <w:t xml:space="preserve"> таким, що втрати</w:t>
      </w:r>
      <w:r w:rsidR="0050568A">
        <w:rPr>
          <w:sz w:val="28"/>
          <w:szCs w:val="28"/>
        </w:rPr>
        <w:t>в</w:t>
      </w:r>
      <w:r>
        <w:rPr>
          <w:sz w:val="28"/>
          <w:szCs w:val="28"/>
        </w:rPr>
        <w:t xml:space="preserve"> чинність.</w:t>
      </w:r>
    </w:p>
    <w:p w14:paraId="25B7B084" w14:textId="2D02240C" w:rsidR="00555CC4" w:rsidRDefault="00555CC4" w:rsidP="00555C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6347F" w:rsidRPr="00E6347F">
        <w:t xml:space="preserve"> </w:t>
      </w:r>
      <w:r w:rsidR="00E6347F" w:rsidRPr="00E6347F">
        <w:rPr>
          <w:sz w:val="28"/>
          <w:szCs w:val="28"/>
        </w:rPr>
        <w:t>Контроль за виконанням цього рішення покласти на постійну комісію з питань житлово-комунального господарства, розвитку підприємництва, екології, будівництва, благоустрою та транспорту (Юрій ГАЛІЙ), а організацію його виконання - на заступника міського голови з питань діяльності виконавчих органів ради Тетяну СОЛОХУ</w:t>
      </w:r>
    </w:p>
    <w:p w14:paraId="12FB7E50" w14:textId="77777777" w:rsidR="00555CC4" w:rsidRDefault="00555CC4" w:rsidP="00555CC4">
      <w:pPr>
        <w:jc w:val="both"/>
        <w:rPr>
          <w:sz w:val="28"/>
          <w:szCs w:val="28"/>
        </w:rPr>
      </w:pPr>
    </w:p>
    <w:p w14:paraId="55298C0B" w14:textId="462DB015" w:rsidR="00555CC4" w:rsidRDefault="00555CC4" w:rsidP="00555CC4">
      <w:pPr>
        <w:jc w:val="both"/>
        <w:rPr>
          <w:sz w:val="28"/>
          <w:szCs w:val="28"/>
        </w:rPr>
      </w:pPr>
    </w:p>
    <w:p w14:paraId="13CD37D9" w14:textId="6BA382FA" w:rsidR="00555CC4" w:rsidRPr="00011692" w:rsidRDefault="00A13E2D" w:rsidP="00555CC4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Pr="00011692">
        <w:rPr>
          <w:color w:val="000000"/>
          <w:sz w:val="28"/>
          <w:szCs w:val="28"/>
        </w:rPr>
        <w:t>Міський голова                                                                  Василь СИДОР</w:t>
      </w:r>
    </w:p>
    <w:p w14:paraId="42E4467D" w14:textId="77777777" w:rsidR="00555CC4" w:rsidRPr="00011692" w:rsidRDefault="00555CC4" w:rsidP="00555CC4">
      <w:pPr>
        <w:jc w:val="both"/>
        <w:rPr>
          <w:sz w:val="28"/>
          <w:szCs w:val="28"/>
        </w:rPr>
      </w:pPr>
    </w:p>
    <w:p w14:paraId="4A710E43" w14:textId="77777777" w:rsidR="00555CC4" w:rsidRDefault="00555CC4" w:rsidP="00555CC4">
      <w:pPr>
        <w:jc w:val="both"/>
        <w:rPr>
          <w:sz w:val="28"/>
          <w:szCs w:val="28"/>
        </w:rPr>
      </w:pPr>
    </w:p>
    <w:p w14:paraId="6E3D0CE9" w14:textId="77777777" w:rsidR="00555CC4" w:rsidRDefault="00555CC4" w:rsidP="00555CC4">
      <w:pPr>
        <w:jc w:val="both"/>
        <w:rPr>
          <w:sz w:val="28"/>
          <w:szCs w:val="28"/>
        </w:rPr>
      </w:pPr>
    </w:p>
    <w:p w14:paraId="3725280D" w14:textId="53B62135" w:rsidR="00555CC4" w:rsidRDefault="00555CC4" w:rsidP="00555CC4">
      <w:pPr>
        <w:jc w:val="both"/>
        <w:rPr>
          <w:sz w:val="28"/>
          <w:szCs w:val="28"/>
        </w:rPr>
      </w:pPr>
    </w:p>
    <w:p w14:paraId="0D24D7AE" w14:textId="5972F77D" w:rsidR="00A13E2D" w:rsidRDefault="00A13E2D" w:rsidP="00555CC4">
      <w:pPr>
        <w:jc w:val="both"/>
        <w:rPr>
          <w:sz w:val="28"/>
          <w:szCs w:val="28"/>
        </w:rPr>
      </w:pPr>
    </w:p>
    <w:p w14:paraId="2A8D68FA" w14:textId="0E010E3F" w:rsidR="00A13E2D" w:rsidRDefault="00A13E2D" w:rsidP="00555CC4">
      <w:pPr>
        <w:jc w:val="both"/>
        <w:rPr>
          <w:sz w:val="28"/>
          <w:szCs w:val="28"/>
        </w:rPr>
      </w:pPr>
    </w:p>
    <w:p w14:paraId="598C4F0B" w14:textId="76C12FC3" w:rsidR="00A13E2D" w:rsidRDefault="00A13E2D" w:rsidP="00555CC4">
      <w:pPr>
        <w:jc w:val="both"/>
        <w:rPr>
          <w:sz w:val="28"/>
          <w:szCs w:val="28"/>
        </w:rPr>
      </w:pPr>
    </w:p>
    <w:p w14:paraId="6C5232B7" w14:textId="28707F75" w:rsidR="00A13E2D" w:rsidRDefault="00A13E2D" w:rsidP="00555CC4">
      <w:pPr>
        <w:jc w:val="both"/>
        <w:rPr>
          <w:sz w:val="28"/>
          <w:szCs w:val="28"/>
        </w:rPr>
      </w:pPr>
    </w:p>
    <w:p w14:paraId="7ED67169" w14:textId="03C9B50C" w:rsidR="00A13E2D" w:rsidRDefault="00A13E2D" w:rsidP="00555CC4">
      <w:pPr>
        <w:jc w:val="both"/>
        <w:rPr>
          <w:sz w:val="28"/>
          <w:szCs w:val="28"/>
        </w:rPr>
      </w:pPr>
    </w:p>
    <w:p w14:paraId="4E976280" w14:textId="77777777" w:rsidR="00CE2CF8" w:rsidRDefault="00CE2CF8" w:rsidP="00555CC4">
      <w:pPr>
        <w:ind w:left="5664" w:firstLine="708"/>
        <w:rPr>
          <w:sz w:val="28"/>
          <w:szCs w:val="28"/>
        </w:rPr>
      </w:pPr>
      <w:bookmarkStart w:id="0" w:name="_Hlk96093109"/>
      <w:r w:rsidRPr="00CE2CF8">
        <w:rPr>
          <w:sz w:val="28"/>
          <w:szCs w:val="28"/>
        </w:rPr>
        <w:lastRenderedPageBreak/>
        <w:t>Д</w:t>
      </w:r>
      <w:r w:rsidR="00555CC4" w:rsidRPr="00CE2CF8">
        <w:rPr>
          <w:sz w:val="28"/>
          <w:szCs w:val="28"/>
        </w:rPr>
        <w:t>одаток</w:t>
      </w:r>
    </w:p>
    <w:p w14:paraId="20AAB034" w14:textId="6FB4A5CF" w:rsidR="00555CC4" w:rsidRPr="00CE2CF8" w:rsidRDefault="00555CC4" w:rsidP="00CE2CF8">
      <w:pPr>
        <w:ind w:left="6360" w:firstLine="12"/>
        <w:rPr>
          <w:sz w:val="28"/>
          <w:szCs w:val="28"/>
        </w:rPr>
      </w:pPr>
      <w:r w:rsidRPr="00CE2CF8">
        <w:rPr>
          <w:sz w:val="28"/>
          <w:szCs w:val="28"/>
        </w:rPr>
        <w:t xml:space="preserve">до рішення міської ради від </w:t>
      </w:r>
      <w:r w:rsidR="00011692">
        <w:rPr>
          <w:sz w:val="28"/>
          <w:szCs w:val="28"/>
        </w:rPr>
        <w:t>22.04.</w:t>
      </w:r>
      <w:r w:rsidRPr="00CE2CF8">
        <w:rPr>
          <w:sz w:val="28"/>
          <w:szCs w:val="28"/>
        </w:rPr>
        <w:t>202</w:t>
      </w:r>
      <w:r w:rsidR="00A13E2D">
        <w:rPr>
          <w:sz w:val="28"/>
          <w:szCs w:val="28"/>
        </w:rPr>
        <w:t>2</w:t>
      </w:r>
      <w:r w:rsidR="00F72657">
        <w:rPr>
          <w:sz w:val="28"/>
          <w:szCs w:val="28"/>
        </w:rPr>
        <w:t>р.</w:t>
      </w:r>
    </w:p>
    <w:p w14:paraId="4F367D5A" w14:textId="13EA29DD" w:rsidR="00555CC4" w:rsidRPr="00CE2CF8" w:rsidRDefault="00555CC4" w:rsidP="00CE2CF8">
      <w:pPr>
        <w:ind w:left="6360"/>
        <w:rPr>
          <w:sz w:val="28"/>
          <w:szCs w:val="28"/>
        </w:rPr>
      </w:pPr>
      <w:r w:rsidRPr="00CE2CF8">
        <w:rPr>
          <w:sz w:val="28"/>
          <w:szCs w:val="28"/>
        </w:rPr>
        <w:t>№</w:t>
      </w:r>
      <w:r w:rsidR="00011692">
        <w:rPr>
          <w:sz w:val="28"/>
          <w:szCs w:val="28"/>
        </w:rPr>
        <w:t xml:space="preserve"> 25-17/</w:t>
      </w:r>
      <w:r w:rsidR="00F72657">
        <w:rPr>
          <w:sz w:val="28"/>
          <w:szCs w:val="28"/>
        </w:rPr>
        <w:t>202</w:t>
      </w:r>
      <w:r w:rsidR="00A13E2D">
        <w:rPr>
          <w:sz w:val="28"/>
          <w:szCs w:val="28"/>
        </w:rPr>
        <w:t>2</w:t>
      </w:r>
      <w:bookmarkEnd w:id="0"/>
    </w:p>
    <w:p w14:paraId="249AC9F5" w14:textId="77777777" w:rsidR="000421C2" w:rsidRDefault="000421C2" w:rsidP="00555CC4">
      <w:pPr>
        <w:jc w:val="center"/>
        <w:rPr>
          <w:sz w:val="28"/>
          <w:szCs w:val="28"/>
        </w:rPr>
      </w:pPr>
    </w:p>
    <w:p w14:paraId="7873C3F4" w14:textId="59B8E0F4" w:rsidR="00555CC4" w:rsidRDefault="00901851" w:rsidP="00555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ПОСАДОВИЙ </w:t>
      </w:r>
      <w:r w:rsidR="00555CC4">
        <w:rPr>
          <w:sz w:val="28"/>
          <w:szCs w:val="28"/>
        </w:rPr>
        <w:t>СКЛАД</w:t>
      </w:r>
    </w:p>
    <w:p w14:paraId="0C3154D1" w14:textId="77777777" w:rsidR="00555CC4" w:rsidRDefault="00555CC4" w:rsidP="00555CC4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Державної надзвичайної протиепізоотичної</w:t>
      </w:r>
    </w:p>
    <w:p w14:paraId="5B8F7C10" w14:textId="77777777" w:rsidR="00555CC4" w:rsidRDefault="00555CC4" w:rsidP="00555CC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при Славутській міській раді</w:t>
      </w:r>
    </w:p>
    <w:tbl>
      <w:tblPr>
        <w:tblW w:w="9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7030"/>
        <w:gridCol w:w="2255"/>
      </w:tblGrid>
      <w:tr w:rsidR="00555CC4" w14:paraId="3E0D4804" w14:textId="77777777" w:rsidTr="00555CC4">
        <w:trPr>
          <w:trHeight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D936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9E86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займана посада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2D1C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посада в комісії</w:t>
            </w:r>
          </w:p>
        </w:tc>
      </w:tr>
      <w:tr w:rsidR="00555CC4" w14:paraId="11A26759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87D0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FF8B" w14:textId="3A90D666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="00A42E21">
              <w:rPr>
                <w:sz w:val="28"/>
                <w:szCs w:val="28"/>
              </w:rPr>
              <w:t>з питань діяльності виконавчих органів ради</w:t>
            </w:r>
            <w:r>
              <w:rPr>
                <w:sz w:val="28"/>
                <w:szCs w:val="28"/>
              </w:rPr>
              <w:t xml:space="preserve"> </w:t>
            </w:r>
            <w:r w:rsidR="00A42E21">
              <w:rPr>
                <w:sz w:val="28"/>
                <w:szCs w:val="28"/>
              </w:rPr>
              <w:t>СОЛОХА Тетяна Іваніна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4E30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голова комісії</w:t>
            </w:r>
          </w:p>
        </w:tc>
      </w:tr>
      <w:tr w:rsidR="00555CC4" w14:paraId="684D6FA0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87FE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D9C3" w14:textId="3801A53A" w:rsidR="00555CC4" w:rsidRDefault="00A42E21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55CC4">
              <w:rPr>
                <w:sz w:val="28"/>
                <w:szCs w:val="28"/>
              </w:rPr>
              <w:t>ачальник Славутського управління Головного управління Держпродспоживслужби в Хмельницькій області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2FA6A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pacing w:val="-8"/>
                <w:sz w:val="28"/>
                <w:szCs w:val="28"/>
              </w:rPr>
              <w:t xml:space="preserve"> заступник голови комісії</w:t>
            </w:r>
          </w:p>
        </w:tc>
      </w:tr>
      <w:tr w:rsidR="00555CC4" w14:paraId="2DF546F1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3306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6E95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Завідуючий Славутською дільницею ветеринарної медицини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91848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секретар комісії</w:t>
            </w:r>
          </w:p>
        </w:tc>
      </w:tr>
      <w:tr w:rsidR="00555CC4" w14:paraId="235BCFD0" w14:textId="77777777" w:rsidTr="00555CC4">
        <w:trPr>
          <w:trHeight w:val="70"/>
          <w:jc w:val="center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F5BA6" w14:textId="77777777" w:rsidR="00555CC4" w:rsidRDefault="00555CC4">
            <w:pPr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ЧЛЕНИ  КОМІСІЇ</w:t>
            </w:r>
          </w:p>
        </w:tc>
      </w:tr>
      <w:tr w:rsidR="00555CC4" w14:paraId="693C48D1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369B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9C31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Староста сіл Варварівка та Голики виконавчого комітету Славутської міської ради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F35E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555CC4" w14:paraId="04453813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7ACD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DF47E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управління житлово-комунального господарства, енергозбереження, благоустрою та охорони громадського порядку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>виконавчого комітету Славутської міської ради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86CD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555CC4" w14:paraId="52A4555E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DCF5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9BB6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фінансового управління</w:t>
            </w:r>
            <w:r>
              <w:t xml:space="preserve"> </w:t>
            </w:r>
            <w:r>
              <w:rPr>
                <w:rFonts w:eastAsia="Calibri"/>
                <w:sz w:val="28"/>
                <w:szCs w:val="28"/>
              </w:rPr>
              <w:t>виконавчого комітету Славутської міської ради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B86EF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555CC4" w14:paraId="6EC81340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C920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792A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відділу з питань надзвичайних ситуацій виконавчого комітету Славутської міської ради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FDFF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555CC4" w14:paraId="27E54C04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6282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CA34" w14:textId="77777777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КП «Славута-Сервіс» Славутської міської ради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F07B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555CC4" w14:paraId="27EE6318" w14:textId="77777777" w:rsidTr="00555CC4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0B2D" w14:textId="77777777" w:rsidR="00555CC4" w:rsidRDefault="00555CC4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7488" w14:textId="2965CE62" w:rsidR="00555CC4" w:rsidRDefault="00555CC4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A42E21">
              <w:rPr>
                <w:rFonts w:eastAsia="Calibri"/>
                <w:sz w:val="28"/>
                <w:szCs w:val="28"/>
              </w:rPr>
              <w:t>Шепетівського</w:t>
            </w:r>
            <w:r>
              <w:rPr>
                <w:rFonts w:eastAsia="Calibri"/>
                <w:sz w:val="28"/>
                <w:szCs w:val="28"/>
              </w:rPr>
              <w:t xml:space="preserve"> районного </w:t>
            </w:r>
            <w:r w:rsidR="00A42E21">
              <w:rPr>
                <w:rFonts w:eastAsia="Calibri"/>
                <w:sz w:val="28"/>
                <w:szCs w:val="28"/>
              </w:rPr>
              <w:t>управління</w:t>
            </w:r>
            <w:r>
              <w:rPr>
                <w:rFonts w:eastAsia="Calibri"/>
                <w:sz w:val="28"/>
                <w:szCs w:val="28"/>
              </w:rPr>
              <w:t xml:space="preserve"> Головного управління Державної Служби України з надзвичайних ситуацій у Хмельницькій області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69EC" w14:textId="77777777" w:rsidR="00555CC4" w:rsidRDefault="00555CC4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A42E21" w14:paraId="1F2B5A2C" w14:textId="77777777" w:rsidTr="009231CB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5824" w14:textId="77777777" w:rsidR="00A42E21" w:rsidRDefault="00A42E21" w:rsidP="009231CB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1FC4" w14:textId="51CFCFBC" w:rsidR="00A42E21" w:rsidRDefault="00A42E21" w:rsidP="009231CB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Медичний директо</w:t>
            </w:r>
            <w:r w:rsidR="0094428B"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</w:rPr>
              <w:t xml:space="preserve"> КП «Славутська </w:t>
            </w:r>
            <w:r w:rsidR="0094428B">
              <w:rPr>
                <w:rFonts w:eastAsia="Calibri"/>
                <w:sz w:val="28"/>
                <w:szCs w:val="28"/>
              </w:rPr>
              <w:t>МЛ</w:t>
            </w:r>
            <w:r>
              <w:rPr>
                <w:rFonts w:eastAsia="Calibri"/>
                <w:sz w:val="28"/>
                <w:szCs w:val="28"/>
              </w:rPr>
              <w:t>»</w:t>
            </w:r>
            <w: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6F02" w14:textId="77777777" w:rsidR="00A42E21" w:rsidRDefault="00A42E21" w:rsidP="009231CB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362D50" w14:paraId="05B638D1" w14:textId="77777777" w:rsidTr="00362D5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9D2" w14:textId="37A44A43" w:rsidR="00362D50" w:rsidRDefault="00362D50" w:rsidP="00362D50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BFC8" w14:textId="351A2A06" w:rsidR="00362D50" w:rsidRDefault="00362D50" w:rsidP="00362D50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Головний лікар КП «Славутський центр ПМСД»</w:t>
            </w:r>
            <w:r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241D" w14:textId="77777777" w:rsidR="00362D50" w:rsidRDefault="00362D50" w:rsidP="00362D50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362D50" w14:paraId="6CBC1D48" w14:textId="77777777" w:rsidTr="00362D5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59F5" w14:textId="34C1CDAC" w:rsidR="00362D50" w:rsidRDefault="00362D50" w:rsidP="00362D50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D00A" w14:textId="3C251FFD" w:rsidR="00362D50" w:rsidRDefault="00362D50" w:rsidP="00362D50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Начальник відділення поліції №1 Шепетівського районного управління поліції Головного управління національної поліції в Хмельницькій області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E6C7" w14:textId="77777777" w:rsidR="00362D50" w:rsidRDefault="00362D50" w:rsidP="00362D50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362D50" w14:paraId="1D05F749" w14:textId="77777777" w:rsidTr="00362D5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4DD1" w14:textId="09FC1774" w:rsidR="00362D50" w:rsidRDefault="00362D50" w:rsidP="00362D50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0BBD" w14:textId="77777777" w:rsidR="00362D50" w:rsidRDefault="00362D50" w:rsidP="00362D50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Головний лісничий державного підприємства «Славутське лісове господарство»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3013" w14:textId="77777777" w:rsidR="00362D50" w:rsidRDefault="00362D50" w:rsidP="00362D50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  <w:tr w:rsidR="00362D50" w14:paraId="4CA92BCC" w14:textId="77777777" w:rsidTr="00362D50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6FB5" w14:textId="0A835EC7" w:rsidR="00362D50" w:rsidRDefault="00362D50" w:rsidP="00362D50">
            <w:pPr>
              <w:tabs>
                <w:tab w:val="left" w:pos="4395"/>
              </w:tabs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177" w14:textId="77777777" w:rsidR="00362D50" w:rsidRDefault="00362D50" w:rsidP="00362D50">
            <w:pPr>
              <w:tabs>
                <w:tab w:val="left" w:pos="4395"/>
              </w:tabs>
              <w:ind w:left="-57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Голова Славутської районної організації Українського товариства мисливців і рибалок  (за згодою)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4A3B5" w14:textId="77777777" w:rsidR="00362D50" w:rsidRDefault="00362D50" w:rsidP="00362D50">
            <w:pPr>
              <w:tabs>
                <w:tab w:val="left" w:pos="4395"/>
              </w:tabs>
              <w:ind w:left="-57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- член комісії</w:t>
            </w:r>
          </w:p>
        </w:tc>
      </w:tr>
    </w:tbl>
    <w:p w14:paraId="1102112C" w14:textId="77777777" w:rsidR="00555CC4" w:rsidRDefault="00555CC4" w:rsidP="00555CC4">
      <w:pPr>
        <w:jc w:val="center"/>
        <w:rPr>
          <w:sz w:val="28"/>
          <w:szCs w:val="28"/>
        </w:rPr>
      </w:pPr>
    </w:p>
    <w:p w14:paraId="17597338" w14:textId="77777777" w:rsidR="00555CC4" w:rsidRDefault="00555CC4" w:rsidP="00555CC4">
      <w:pPr>
        <w:jc w:val="center"/>
        <w:rPr>
          <w:sz w:val="28"/>
          <w:szCs w:val="28"/>
        </w:rPr>
      </w:pPr>
    </w:p>
    <w:p w14:paraId="5DA5E197" w14:textId="60D1D592" w:rsidR="00555CC4" w:rsidRDefault="00011692" w:rsidP="00011692">
      <w:pPr>
        <w:tabs>
          <w:tab w:val="left" w:pos="567"/>
        </w:tabs>
      </w:pPr>
      <w:r>
        <w:rPr>
          <w:sz w:val="28"/>
          <w:szCs w:val="28"/>
        </w:rPr>
        <w:tab/>
      </w:r>
      <w:r w:rsidR="00555CC4">
        <w:rPr>
          <w:sz w:val="28"/>
          <w:szCs w:val="28"/>
        </w:rPr>
        <w:t>Секретар</w:t>
      </w:r>
      <w:r w:rsidR="00AC73DC">
        <w:rPr>
          <w:sz w:val="28"/>
          <w:szCs w:val="28"/>
        </w:rPr>
        <w:t xml:space="preserve"> Славутської міської</w:t>
      </w:r>
      <w:r w:rsidR="00555CC4">
        <w:rPr>
          <w:sz w:val="28"/>
          <w:szCs w:val="28"/>
        </w:rPr>
        <w:t xml:space="preserve"> ради            </w:t>
      </w:r>
      <w:r w:rsidR="00176BD6">
        <w:rPr>
          <w:sz w:val="28"/>
          <w:szCs w:val="28"/>
        </w:rPr>
        <w:t xml:space="preserve">                     </w:t>
      </w:r>
      <w:r w:rsidR="00362D50">
        <w:rPr>
          <w:sz w:val="28"/>
          <w:szCs w:val="28"/>
        </w:rPr>
        <w:t>Світлана ФЕДОЧУК</w:t>
      </w:r>
    </w:p>
    <w:sectPr w:rsidR="00555CC4" w:rsidSect="00222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icrosoft Uighur">
    <w:altName w:val="Microsoft Uighur"/>
    <w:panose1 w:val="02000000000000000000"/>
    <w:charset w:val="00"/>
    <w:family w:val="auto"/>
    <w:pitch w:val="variable"/>
    <w:sig w:usb0="80002023" w:usb1="80000002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4A"/>
    <w:rsid w:val="00011692"/>
    <w:rsid w:val="000421C2"/>
    <w:rsid w:val="00042DBF"/>
    <w:rsid w:val="0016395A"/>
    <w:rsid w:val="00176BD6"/>
    <w:rsid w:val="00222F4C"/>
    <w:rsid w:val="0029713E"/>
    <w:rsid w:val="00362D50"/>
    <w:rsid w:val="00455D66"/>
    <w:rsid w:val="00467D7E"/>
    <w:rsid w:val="0050568A"/>
    <w:rsid w:val="00555CC4"/>
    <w:rsid w:val="006A750B"/>
    <w:rsid w:val="007B360F"/>
    <w:rsid w:val="00901851"/>
    <w:rsid w:val="0094428B"/>
    <w:rsid w:val="00975930"/>
    <w:rsid w:val="00A13E2D"/>
    <w:rsid w:val="00A42E21"/>
    <w:rsid w:val="00AC73DC"/>
    <w:rsid w:val="00B143B6"/>
    <w:rsid w:val="00CE2CF8"/>
    <w:rsid w:val="00D00073"/>
    <w:rsid w:val="00D7734A"/>
    <w:rsid w:val="00D85287"/>
    <w:rsid w:val="00D90185"/>
    <w:rsid w:val="00E6347F"/>
    <w:rsid w:val="00F72657"/>
    <w:rsid w:val="00F9347F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D6CC"/>
  <w15:docId w15:val="{CC431538-CB0C-4AF8-B4B4-6444A976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CC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CE2CF8"/>
    <w:pPr>
      <w:widowControl w:val="0"/>
      <w:suppressAutoHyphens/>
      <w:autoSpaceDN w:val="0"/>
      <w:spacing w:after="120"/>
    </w:pPr>
    <w:rPr>
      <w:rFonts w:eastAsia="Andale Sans UI" w:cs="Tahoma"/>
      <w:kern w:val="3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E2CF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E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1EBA-C37F-4B1C-AA45-B6D72537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Gruzd</cp:lastModifiedBy>
  <cp:revision>3</cp:revision>
  <cp:lastPrinted>2022-02-17T09:58:00Z</cp:lastPrinted>
  <dcterms:created xsi:type="dcterms:W3CDTF">2022-02-21T09:02:00Z</dcterms:created>
  <dcterms:modified xsi:type="dcterms:W3CDTF">2022-04-26T14:02:00Z</dcterms:modified>
</cp:coreProperties>
</file>