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1"/>
        <w:gridCol w:w="3191"/>
        <w:gridCol w:w="3194"/>
      </w:tblGrid>
      <w:tr>
        <w:trPr/>
        <w:tc>
          <w:tcPr>
            <w:tcW w:w="3221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17-20/2022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 xml:space="preserve">розгляд звернення Громадської 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організації «Славутське міськрайонне 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об’єднання учасників бойових дій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антитерористичної операції та операції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об’єднаних сил»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щодо визначення приміщень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для здійснення організацією статутних завдань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start="0" w:end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color w:val="000000"/>
          <w:sz w:val="28"/>
          <w:szCs w:val="28"/>
        </w:rPr>
        <w:t>сприяння громадським організаціям у їх діяльності та забезпечення реалізації прав та інтересів жителів територіальної громади, на взаємодію з якими спрямована діяльність таких організацій,</w:t>
      </w:r>
      <w:r>
        <w:rPr>
          <w:rFonts w:ascii="Times New Roman" w:hAnsi="Times New Roman"/>
          <w:sz w:val="28"/>
          <w:szCs w:val="28"/>
        </w:rPr>
        <w:t xml:space="preserve"> розглянувши звернення голови правління Громадської організації «Славутське міськрайонне об’єднання учасників бойових дій антитерористичної операції та операції об’єднаних сил» Руслана ДІДУШКА за вх. № 692/04-30 від 1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5.08.</w:t>
      </w:r>
      <w:r>
        <w:rPr>
          <w:rFonts w:ascii="Times New Roman" w:hAnsi="Times New Roman"/>
          <w:sz w:val="28"/>
          <w:szCs w:val="28"/>
        </w:rPr>
        <w:t xml:space="preserve">2022 р., керуючись Законом України «Про статус ветеранів війни, гарантії їх соціального захисту», ст. 25, ч.ч. 1, 5 ст. 60 Закону України «Про місцеве самоврядування в Україні», рішенням Славутської міської ради від 29.10.2021 р. № 20-11/2021, </w:t>
      </w:r>
      <w:bookmarkStart w:id="0" w:name="_Hlk65571379"/>
      <w:bookmarkEnd w:id="0"/>
      <w:r>
        <w:rPr>
          <w:rFonts w:ascii="Times New Roman" w:hAnsi="Times New Roman"/>
          <w:sz w:val="28"/>
          <w:szCs w:val="28"/>
        </w:rPr>
        <w:t>Славутська міська рада ВИРІШИЛА: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76" w:before="0" w:after="200"/>
        <w:ind w:start="0" w:end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приміщення другого поверху за №№ 21, 22 згідно з технічним паспортом, площами відповідно 31,5 кв.м та 18,3 кв.м, на вул. Козацькій, 2 в м. Славуті для здійснення Громадською організацією «Славутське міськрайонне об’єднання учасників бойових дій антитерористичної операції та операції об’єднаних сил» своїх статутних цілей та завдань строком на один рік, починаючи з 16.11.2022 р.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51" w:leader="none"/>
        </w:tabs>
        <w:suppressAutoHyphens w:val="true"/>
        <w:bidi w:val="0"/>
        <w:spacing w:lineRule="auto" w:line="276" w:before="0" w:after="200"/>
        <w:ind w:start="0" w:end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 Громадській організації «Славутське міськрайонне об’єднання учасників бойових дій антитерористичної операції та операції об’єднаних сил» забезпечити під час здійснення своїх статутних цілей та завдань утримання приміщень, зазначених в п. 1 цього рішення, в належному стані.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51" w:leader="none"/>
        </w:tabs>
        <w:suppressAutoHyphens w:val="true"/>
        <w:bidi w:val="0"/>
        <w:spacing w:lineRule="auto" w:line="276" w:before="0" w:after="200"/>
        <w:ind w:start="-57" w:end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 Фінансовому управлінню виконавчого комітету Славутської міської ради (Юлія ДОЛІШНА) передбачити виділення коштів виконавчому комітету Славутської міської ради на компенсацію збитків для Комунального підприємства «Славутське житлово-комунальне об’єднання», понесених внаслідок надання безоплатних послуг з теплопостачання приміщень, зазначених в п. 1 цього рішення, згідно з поданим головним розпорядником бюджетним запитом, розробленим на підставі розрахунків Комунального підприємства «Славутське житлово-комунальне об’єднання».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851" w:leader="none"/>
        </w:tabs>
        <w:suppressAutoHyphens w:val="true"/>
        <w:bidi w:val="0"/>
        <w:spacing w:lineRule="auto" w:line="276" w:before="0" w:after="200"/>
        <w:ind w:start="57" w:end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eastAsia="Calibri" w:ascii="Times New Roman" w:hAnsi="Times New Roman"/>
          <w:sz w:val="28"/>
          <w:szCs w:val="28"/>
          <w:lang w:eastAsia="en-US"/>
        </w:rPr>
        <w:t>4. 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</w:t>
      </w:r>
    </w:p>
    <w:p>
      <w:pPr>
        <w:pStyle w:val="Normal"/>
        <w:spacing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Міський голова                                                             Василь СИДОР</w:t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contextualSpacing/>
        <w:jc w:val="both"/>
        <w:rPr>
          <w:rFonts w:ascii="Times New Roman" w:hAnsi="Times New Roman"/>
          <w:szCs w:val="28"/>
        </w:rPr>
      </w:pPr>
      <w:r>
        <w:rPr/>
      </w:r>
    </w:p>
    <w:sectPr>
      <w:type w:val="nextPage"/>
      <w:pgSz w:w="11906" w:h="16838"/>
      <w:pgMar w:left="1560" w:right="761" w:gutter="0" w:header="0" w:top="1418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1287" w:hanging="360"/>
      </w:pPr>
      <w:rPr>
        <w:szCs w:val="28"/>
      </w:rPr>
    </w:lvl>
    <w:lvl w:ilvl="1">
      <w:start w:val="1"/>
      <w:numFmt w:val="decimal"/>
      <w:lvlText w:val="%1.%2."/>
      <w:lvlJc w:val="start"/>
      <w:pPr>
        <w:tabs>
          <w:tab w:val="num" w:pos="0"/>
        </w:tabs>
        <w:ind w:start="1647" w:hanging="720"/>
      </w:pPr>
      <w:rPr>
        <w:rFonts w:eastAsia="Calibri"/>
      </w:rPr>
    </w:lvl>
    <w:lvl w:ilvl="2">
      <w:start w:val="1"/>
      <w:numFmt w:val="decimal"/>
      <w:lvlText w:val="%1.%2.%3."/>
      <w:lvlJc w:val="start"/>
      <w:pPr>
        <w:tabs>
          <w:tab w:val="num" w:pos="0"/>
        </w:tabs>
        <w:ind w:start="1647" w:hanging="720"/>
      </w:pPr>
      <w:rPr>
        <w:rFonts w:eastAsia="Calibri"/>
      </w:rPr>
    </w:lvl>
    <w:lvl w:ilvl="3">
      <w:start w:val="1"/>
      <w:numFmt w:val="decimal"/>
      <w:lvlText w:val="%1.%2.%3.%4."/>
      <w:lvlJc w:val="start"/>
      <w:pPr>
        <w:tabs>
          <w:tab w:val="num" w:pos="0"/>
        </w:tabs>
        <w:ind w:start="2007" w:hanging="1080"/>
      </w:pPr>
      <w:rPr>
        <w:rFonts w:eastAsia="Calibri"/>
      </w:rPr>
    </w:lvl>
    <w:lvl w:ilvl="4">
      <w:start w:val="1"/>
      <w:numFmt w:val="decimal"/>
      <w:lvlText w:val="%1.%2.%3.%4.%5."/>
      <w:lvlJc w:val="start"/>
      <w:pPr>
        <w:tabs>
          <w:tab w:val="num" w:pos="0"/>
        </w:tabs>
        <w:ind w:start="2007" w:hanging="1080"/>
      </w:pPr>
      <w:rPr>
        <w:rFonts w:eastAsia="Calibri"/>
      </w:rPr>
    </w:lvl>
    <w:lvl w:ilvl="5">
      <w:start w:val="1"/>
      <w:numFmt w:val="decimal"/>
      <w:lvlText w:val="%1.%2.%3.%4.%5.%6."/>
      <w:lvlJc w:val="start"/>
      <w:pPr>
        <w:tabs>
          <w:tab w:val="num" w:pos="0"/>
        </w:tabs>
        <w:ind w:start="2367" w:hanging="1440"/>
      </w:pPr>
      <w:rPr>
        <w:rFonts w:eastAsia="Calibri"/>
      </w:rPr>
    </w:lvl>
    <w:lvl w:ilvl="6">
      <w:start w:val="1"/>
      <w:numFmt w:val="decimal"/>
      <w:lvlText w:val="%1.%2.%3.%4.%5.%6.%7."/>
      <w:lvlJc w:val="start"/>
      <w:pPr>
        <w:tabs>
          <w:tab w:val="num" w:pos="0"/>
        </w:tabs>
        <w:ind w:start="2727" w:hanging="1800"/>
      </w:pPr>
      <w:rPr>
        <w:rFonts w:eastAsia="Calibri"/>
      </w:rPr>
    </w:lvl>
    <w:lvl w:ilvl="7">
      <w:start w:val="1"/>
      <w:numFmt w:val="decimal"/>
      <w:lvlText w:val="%1.%2.%3.%4.%5.%6.%7.%8."/>
      <w:lvlJc w:val="start"/>
      <w:pPr>
        <w:tabs>
          <w:tab w:val="num" w:pos="0"/>
        </w:tabs>
        <w:ind w:start="272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start"/>
      <w:pPr>
        <w:tabs>
          <w:tab w:val="num" w:pos="0"/>
        </w:tabs>
        <w:ind w:start="3087" w:hanging="2160"/>
      </w:pPr>
      <w:rPr>
        <w:rFonts w:eastAsia="Calibri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WW8Num2z0">
    <w:name w:val="WW8Num2z0"/>
    <w:qFormat/>
    <w:rPr>
      <w:szCs w:val="28"/>
    </w:rPr>
  </w:style>
  <w:style w:type="character" w:styleId="WW8Num2z1">
    <w:name w:val="WW8Num2z1"/>
    <w:qFormat/>
    <w:rPr>
      <w:rFonts w:eastAsia="Calibri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LibreOffice/7.3.4.2$Windows_X86_64 LibreOffice_project/728fec16bd5f605073805c3c9e7c4212a0120dc5</Application>
  <AppVersion>15.0000</AppVersion>
  <Pages>2</Pages>
  <Words>330</Words>
  <Characters>2274</Characters>
  <CharactersWithSpaces>2675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2022-09-09T14:57:47Z</cp:lastPrinted>
  <dcterms:modified xsi:type="dcterms:W3CDTF">2022-09-13T11:41:19Z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