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2"/>
        <w:gridCol w:w="3190"/>
        <w:gridCol w:w="3194"/>
      </w:tblGrid>
      <w:tr>
        <w:trPr/>
        <w:tc>
          <w:tcPr>
            <w:tcW w:w="322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16-20/2022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Standard"/>
        <w:ind w:start="0" w:end="3260" w:hanging="0"/>
        <w:rPr/>
      </w:pPr>
      <w:r>
        <w:rPr>
          <w:szCs w:val="28"/>
        </w:rPr>
        <w:t xml:space="preserve">Про розгляд звернення Товариства з </w:t>
      </w:r>
    </w:p>
    <w:p>
      <w:pPr>
        <w:pStyle w:val="Standard"/>
        <w:ind w:start="0" w:end="3260" w:hanging="0"/>
        <w:rPr/>
      </w:pPr>
      <w:r>
        <w:rPr>
          <w:szCs w:val="28"/>
        </w:rPr>
        <w:t xml:space="preserve">обмеженою відповідальністю </w:t>
      </w:r>
      <w:bookmarkStart w:id="0" w:name="_Hlk79056561"/>
      <w:r>
        <w:rPr>
          <w:szCs w:val="28"/>
        </w:rPr>
        <w:t>«Ведекон»</w:t>
      </w:r>
      <w:bookmarkEnd w:id="0"/>
    </w:p>
    <w:p>
      <w:pPr>
        <w:pStyle w:val="Standard"/>
        <w:ind w:start="0" w:end="3260" w:hanging="0"/>
        <w:rPr>
          <w:szCs w:val="28"/>
        </w:rPr>
      </w:pPr>
      <w:r>
        <w:rPr>
          <w:szCs w:val="28"/>
        </w:rPr>
        <w:t xml:space="preserve">щодо продовження строку дії договору </w:t>
      </w:r>
    </w:p>
    <w:p>
      <w:pPr>
        <w:pStyle w:val="Standard"/>
        <w:widowControl/>
        <w:ind w:start="0" w:end="3260" w:hanging="0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про встановлення сервітуту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Standard"/>
        <w:tabs>
          <w:tab w:val="clear" w:pos="709"/>
          <w:tab w:val="left" w:pos="5628" w:leader="none"/>
        </w:tabs>
        <w:ind w:start="0" w:end="0" w:firstLine="567"/>
        <w:jc w:val="both"/>
        <w:rPr/>
      </w:pPr>
      <w:r>
        <w:rPr>
          <w:szCs w:val="28"/>
        </w:rPr>
        <w:t xml:space="preserve">Розглянувши звернення </w:t>
      </w:r>
      <w:bookmarkStart w:id="1" w:name="_Hlk69726432"/>
      <w:r>
        <w:rPr>
          <w:szCs w:val="28"/>
        </w:rPr>
        <w:t xml:space="preserve">Товариства з обмеженою відповідальністю «Ведекон» за вих. №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12/08/2022-01</w:t>
      </w:r>
      <w:r>
        <w:rPr>
          <w:szCs w:val="28"/>
        </w:rPr>
        <w:t xml:space="preserve"> від 12.08.2022 </w:t>
      </w:r>
      <w:bookmarkEnd w:id="1"/>
      <w:r>
        <w:rPr>
          <w:szCs w:val="28"/>
        </w:rPr>
        <w:t xml:space="preserve"> щодо погодження подальшого перебування в користуванні на умовах строкового платного сервітуту комунального майна – 2 кв.см на кожній із 130 електроопор на вулицях м. Славути Хмельницької області (на вул. Князів Сангушків — 39 електроопор, вул. Острозькій — 28 електроопор, вул. Миру — 27 електроопор, вул. Суворова — 6 електроопор, вул. Пушкіна — 15 електроопор, вул. Козацькій — 10 електроопор, пров. Ломоносова — 5 електроопор) та продовження строку дії договору № 2 про встановлення сервітуту від 12.12.2016 із змінами (далі – Договір) строком на 2 (два) роки 11 місяців, розглянувши звіт про оцінку комунального майна від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25.08.</w:t>
      </w:r>
      <w:r>
        <w:rPr>
          <w:szCs w:val="28"/>
        </w:rPr>
        <w:t xml:space="preserve">2022 виконаний суб’єктом оціночної діяльності – </w:t>
      </w:r>
      <w:r>
        <w:rPr>
          <w:color w:val="000000"/>
          <w:szCs w:val="28"/>
          <w:shd w:fill="auto" w:val="clear"/>
        </w:rPr>
        <w:t>Приватним підприємством «Ізяслав-експерт»</w:t>
      </w:r>
      <w:r>
        <w:rPr>
          <w:szCs w:val="28"/>
        </w:rPr>
        <w:t xml:space="preserve">, керуючись ч. 1 ст. 8, ч. 1 ст. 627, ч.1 ст. 651 Цивільного кодексу України, ст. 25, ч. 1, 5, 7 ст. 60 Закону України «Про місцеве самоврядування в Україні», </w:t>
      </w:r>
      <w:r>
        <w:rPr>
          <w:color w:val="000000"/>
          <w:szCs w:val="28"/>
        </w:rPr>
        <w:t>п. 2.5. Методики розрахунку орендної плати за комунальне майно Славутської міської територіальної громади, затвердженої рішенням Славутської міської ради від 17.06.2022  № 25-18/2022, рі</w:t>
      </w:r>
      <w:r>
        <w:rPr>
          <w:szCs w:val="28"/>
        </w:rPr>
        <w:t xml:space="preserve">шенням Славутської міської ради від 26.09.2014  № 6-46/2014 «Про врегулювання питань розміщення та встановлення технічних елементів (пристроїв) в житлових будинках, на будівлях, спорудах, опорах комунальної власності міста Славути» із змінами, внесеними рішенням Славутської міської ради від 29.07.2022 № 44-19/2022, </w:t>
      </w:r>
      <w:bookmarkStart w:id="2" w:name="_Hlk65571379"/>
      <w:r>
        <w:rPr>
          <w:szCs w:val="28"/>
        </w:rPr>
        <w:t xml:space="preserve">враховуючи висновок та рекомендації постійної комісії Славутської міської ради з питань регулювання земельних відносин, комунального майна та адміністративно-територіального устрою, </w:t>
      </w:r>
      <w:bookmarkEnd w:id="2"/>
      <w:r>
        <w:rPr>
          <w:szCs w:val="28"/>
        </w:rPr>
        <w:t>Славутська міська рада ВИРІШИЛА: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szCs w:val="28"/>
        </w:rPr>
      </w:pPr>
      <w:r>
        <w:rPr>
          <w:szCs w:val="28"/>
        </w:rPr>
        <w:tab/>
        <w:t>1. Погодити подальше строкове платне користування (сервітут) комунальним майном, а саме: 2 кв.см на кожній із 130 електроопор на вулицях м. Славути Хмельницької області (на вул. Князів Сангушків — 39 електроопор, вул. Острозькій — 28 електроопор, вул. Миру — 27 електроопор, вул. Суворова — 6 електроопор, вул. Пушкіна — 15 електроопор, вул. Козацькій — 10 електроопор, пров. Ломоносова — 5 електроопор) та продовжити строк дії Договору № 2 про встановлення сервітуту від 12.12.2016 р. із змінами, укладеного Славутською міською радою із Товариством з обмеженою відповідальністю «Ведекон» після закінчення строку його дії на 2 (два) роки 11 місяців.</w:t>
      </w:r>
    </w:p>
    <w:p>
      <w:pPr>
        <w:pStyle w:val="Standard"/>
        <w:tabs>
          <w:tab w:val="clear" w:pos="709"/>
          <w:tab w:val="left" w:pos="567" w:leader="none"/>
        </w:tabs>
        <w:jc w:val="both"/>
        <w:rPr/>
      </w:pPr>
      <w:bookmarkStart w:id="3" w:name="_Hlk69720632"/>
      <w:bookmarkEnd w:id="3"/>
      <w:r>
        <w:rPr>
          <w:szCs w:val="28"/>
        </w:rPr>
        <w:tab/>
        <w:t xml:space="preserve">2. Затвердити висновок про вартість майна, вказаного в п. 1 цього рішення, наданий суб’єктом оціночної діяльності - </w:t>
      </w:r>
      <w:r>
        <w:rPr>
          <w:szCs w:val="28"/>
          <w:shd w:fill="auto" w:val="clear"/>
        </w:rPr>
        <w:t>Приватним підприємством «Ізяслав-експерт»,</w:t>
      </w:r>
      <w:r>
        <w:rPr>
          <w:szCs w:val="28"/>
        </w:rPr>
        <w:t xml:space="preserve"> в розмірі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114 148</w:t>
      </w:r>
      <w:r>
        <w:rPr>
          <w:szCs w:val="28"/>
        </w:rPr>
        <w:t xml:space="preserve"> грн без ПДВ.</w:t>
      </w:r>
    </w:p>
    <w:p>
      <w:pPr>
        <w:pStyle w:val="Standard"/>
        <w:tabs>
          <w:tab w:val="clear" w:pos="709"/>
          <w:tab w:val="left" w:pos="567" w:leader="none"/>
        </w:tabs>
        <w:jc w:val="both"/>
        <w:rPr/>
      </w:pPr>
      <w:r>
        <w:rPr>
          <w:szCs w:val="28"/>
        </w:rPr>
        <w:t xml:space="preserve">    </w:t>
      </w:r>
      <w:r>
        <w:rPr>
          <w:szCs w:val="28"/>
        </w:rPr>
        <w:tab/>
        <w:t xml:space="preserve">3.Затвердити розрахунок плати за базовий місяць відповідно до використання комунального майна за цільовим призначенням, що визначається: </w:t>
      </w:r>
      <w:r>
        <w:rPr>
          <w:color w:val="auto"/>
          <w:szCs w:val="28"/>
        </w:rPr>
        <w:t>(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114 148</w:t>
      </w:r>
      <w:r>
        <w:rPr>
          <w:color w:val="auto"/>
          <w:szCs w:val="28"/>
        </w:rPr>
        <w:t xml:space="preserve"> грн. Х 0,18)/12 = 1712,22 г</w:t>
      </w:r>
      <w:r>
        <w:rPr>
          <w:szCs w:val="28"/>
        </w:rPr>
        <w:t xml:space="preserve">рн без ПДВ, де 0,18 – це ставка 18 % за використання комунального майна за цільовим призначенням, визначена відповідно до п. 3  </w:t>
      </w:r>
      <w:r>
        <w:rPr>
          <w:color w:val="000000"/>
          <w:szCs w:val="28"/>
        </w:rPr>
        <w:t>рі</w:t>
      </w:r>
      <w:r>
        <w:rPr>
          <w:szCs w:val="28"/>
        </w:rPr>
        <w:t>шення Славутської міської ради від 26.09.2014 р. № 6-46/2014 «Про врегулювання питань розміщення та встановлення технічних елементів (пристроїв) в житлових будинках, на будівлях, спорудах, опорах комунальної власності міста Славути» із змінами.</w:t>
      </w:r>
    </w:p>
    <w:p>
      <w:pPr>
        <w:pStyle w:val="Standard"/>
        <w:ind w:start="0" w:end="0" w:firstLine="567"/>
        <w:jc w:val="both"/>
        <w:rPr>
          <w:szCs w:val="28"/>
        </w:rPr>
      </w:pPr>
      <w:r>
        <w:rPr>
          <w:szCs w:val="28"/>
        </w:rPr>
        <w:t>4.У разі коли між датою визначення орендної плати за базовий місяць, що розрахована відповідно до цієї Методики, і датою підписання договору оренди з актом приймання-передачі майна, або датою підписання додаткової угоди про продовження договору оренди з чинним орендарем минуло більше ніж один повний календарний місяць,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місяць.</w:t>
      </w:r>
    </w:p>
    <w:p>
      <w:pPr>
        <w:pStyle w:val="Standard"/>
        <w:ind w:start="0" w:end="0" w:firstLine="567"/>
        <w:jc w:val="both"/>
        <w:rPr>
          <w:szCs w:val="28"/>
          <w:shd w:fill="auto" w:val="clear"/>
        </w:rPr>
      </w:pPr>
      <w:r>
        <w:rPr>
          <w:szCs w:val="28"/>
          <w:shd w:fill="auto" w:val="clear"/>
        </w:rPr>
        <w:t>При проведенні незалежної оцінки індекс інфляції враховано.</w:t>
      </w:r>
    </w:p>
    <w:p>
      <w:pPr>
        <w:pStyle w:val="Standard"/>
        <w:tabs>
          <w:tab w:val="clear" w:pos="709"/>
          <w:tab w:val="left" w:pos="567" w:leader="none"/>
        </w:tabs>
        <w:jc w:val="both"/>
        <w:rPr/>
      </w:pPr>
      <w:bookmarkStart w:id="4" w:name="_Hlk69726526"/>
      <w:bookmarkStart w:id="5" w:name="_Hlk69727021"/>
      <w:bookmarkStart w:id="6" w:name="_Hlk697206321"/>
      <w:bookmarkEnd w:id="6"/>
      <w:r>
        <w:rPr>
          <w:szCs w:val="28"/>
        </w:rPr>
        <w:tab/>
        <w:t xml:space="preserve">5.Товариству з обмеженою відповідальністю «Ведекон» </w:t>
      </w:r>
      <w:bookmarkEnd w:id="4"/>
      <w:bookmarkEnd w:id="5"/>
      <w:r>
        <w:rPr>
          <w:szCs w:val="28"/>
        </w:rPr>
        <w:t>здійснювати коригування місячної плати за користування комунальним майном на індекс інфляції відповідно до чинного законодавства.</w:t>
      </w:r>
    </w:p>
    <w:p>
      <w:pPr>
        <w:pStyle w:val="Standard"/>
        <w:tabs>
          <w:tab w:val="clear" w:pos="709"/>
          <w:tab w:val="left" w:pos="567" w:leader="none"/>
        </w:tabs>
        <w:jc w:val="both"/>
        <w:rPr/>
      </w:pPr>
      <w:r>
        <w:rPr>
          <w:szCs w:val="28"/>
        </w:rPr>
        <w:tab/>
        <w:t xml:space="preserve">6.Першому заступнику міського голови </w:t>
      </w:r>
      <w:r>
        <w:rPr>
          <w:rFonts w:cs="Times New Roman"/>
          <w:bCs/>
          <w:iCs/>
          <w:sz w:val="28"/>
          <w:szCs w:val="28"/>
        </w:rPr>
        <w:t>з питань діяльності виконавчих органів ради</w:t>
      </w:r>
      <w:r>
        <w:rPr>
          <w:szCs w:val="28"/>
        </w:rPr>
        <w:t xml:space="preserve"> Сергію МИКУЛЬСЬКОМУ укласти із Товариством з обмеженою відповідальністю «Ведекон» додаткову угоду до Договору № 2 про встановлення сервітуту від 12.12.2016 р. із змінами.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szCs w:val="28"/>
        </w:rPr>
      </w:pPr>
      <w:r>
        <w:rPr>
          <w:szCs w:val="28"/>
        </w:rPr>
        <w:tab/>
        <w:t>7.Послуги суб’єкта оціночної діяльності, рецензента відшкодовує користувач комунальним майном – Товариство з обмеженою відповідальністю «Ведекон».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szCs w:val="28"/>
        </w:rPr>
      </w:pPr>
      <w:bookmarkStart w:id="7" w:name="_Hlk69736769"/>
      <w:bookmarkEnd w:id="7"/>
      <w:r>
        <w:rPr>
          <w:szCs w:val="28"/>
        </w:rPr>
        <w:tab/>
        <w:t>8.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</w:t>
      </w:r>
    </w:p>
    <w:p>
      <w:pPr>
        <w:pStyle w:val="Standard"/>
        <w:ind w:start="0" w:end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ind w:start="0" w:end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tabs>
          <w:tab w:val="clear" w:pos="709"/>
          <w:tab w:val="left" w:pos="567" w:leader="none"/>
          <w:tab w:val="left" w:pos="6237" w:leader="none"/>
          <w:tab w:val="left" w:pos="6946" w:leader="none"/>
        </w:tabs>
        <w:jc w:val="both"/>
        <w:rPr>
          <w:szCs w:val="28"/>
        </w:rPr>
      </w:pPr>
      <w:bookmarkStart w:id="8" w:name="_Hlk697367691"/>
      <w:bookmarkEnd w:id="8"/>
      <w:r>
        <w:rPr>
          <w:szCs w:val="28"/>
        </w:rPr>
        <w:t>Міський голова                                                                          Василь СИДОР</w:t>
      </w:r>
    </w:p>
    <w:sectPr>
      <w:type w:val="nextPage"/>
      <w:pgSz w:w="11906" w:h="16838"/>
      <w:pgMar w:left="1560" w:right="761" w:gutter="0" w:header="0" w:top="1418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LibreOffice/7.3.4.2$Windows_X86_64 LibreOffice_project/728fec16bd5f605073805c3c9e7c4212a0120dc5</Application>
  <AppVersion>15.0000</AppVersion>
  <Pages>2</Pages>
  <Words>645</Words>
  <Characters>4208</Characters>
  <CharactersWithSpaces>4951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2022-09-13T11:41:02Z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