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7D1CE3">
              <w:rPr>
                <w:rFonts w:ascii="Times New Roman" w:hAnsi="Times New Roman"/>
                <w:sz w:val="28"/>
                <w:szCs w:val="28"/>
              </w:rPr>
              <w:t>8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D1CE3" w:rsidRPr="007D1CE3" w:rsidRDefault="007D1CE3" w:rsidP="007D1CE3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Про розгляд заяви ТЕРЕЩУКА Володимира</w:t>
      </w:r>
    </w:p>
    <w:p w:rsidR="007D1CE3" w:rsidRPr="007D1CE3" w:rsidRDefault="007D1CE3" w:rsidP="007D1CE3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Володимировича щодо передачі сформованої</w:t>
      </w:r>
    </w:p>
    <w:p w:rsidR="007D1CE3" w:rsidRPr="007D1CE3" w:rsidRDefault="007D1CE3" w:rsidP="007D1CE3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та зареєстрованої</w:t>
      </w:r>
      <w:r w:rsidRPr="007D1CE3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земельної ділянки </w:t>
      </w:r>
    </w:p>
    <w:p w:rsidR="007D1CE3" w:rsidRPr="007D1CE3" w:rsidRDefault="007D1CE3" w:rsidP="007D1CE3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по вул. Покровській, 14 в м. Славуті  </w:t>
      </w:r>
    </w:p>
    <w:p w:rsidR="007D1CE3" w:rsidRPr="007D1CE3" w:rsidRDefault="007D1CE3" w:rsidP="007D1CE3">
      <w:pPr>
        <w:widowControl/>
        <w:shd w:val="clear" w:color="auto" w:fill="FFFFFF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в користування на умовах оренди</w:t>
      </w:r>
    </w:p>
    <w:p w:rsidR="007D1CE3" w:rsidRPr="007D1CE3" w:rsidRDefault="007D1CE3" w:rsidP="007D1CE3">
      <w:pPr>
        <w:widowControl/>
        <w:suppressAutoHyphens w:val="0"/>
        <w:spacing w:before="280" w:after="28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Розглянувши </w:t>
      </w:r>
      <w:bookmarkStart w:id="0" w:name="_Hlk65232762"/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заяву </w:t>
      </w:r>
      <w:bookmarkEnd w:id="0"/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від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17.10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.2022 №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7931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/21-09/2022 </w:t>
      </w: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bidi="ar-SA"/>
        </w:rPr>
        <w:t xml:space="preserve">ТЕРЕЩУКА Володимира Володимировича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щодо передачі в користування на умовах оренди земельної ділянки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під тимчасовою спорудою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що знаходиться за адресою: вул. Покровська,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14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в м. Славут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і та перебувала в користуванні ТЕРЕЩУК Надії Ростиславівни відповідно до Договору оренди землі від 17.10.2017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беручи до уваги, що інші спадкоємці не претендують на перехід прав та обов’язків за вказаним Договором та  на тимчасову споруду,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керуючись ст. ст. 12,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93,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122, 124, 126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Земельного кодексу України,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ст.ст. 1218, 1270 Цивільного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кодексу України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, ст.7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Закон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України «Про оренду землі»,  п.34 ч.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1 ст.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26 Закону України «Про місцеве самоврядування в Україні», рішенням Славутської міської ради від 25 червня 2021 року №2-7/2021 «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Про встановлення ставок плати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за оренду земельних ділянок на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території Славутської міської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bidi="ar-SA"/>
        </w:rPr>
        <w:t>територіальної громади з 2022 року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»,</w:t>
      </w: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ru-RU" w:bidi="ar-SA"/>
        </w:rPr>
        <w:t xml:space="preserve">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міська рада ВИРІШИЛА:</w:t>
      </w:r>
    </w:p>
    <w:p w:rsidR="007D1CE3" w:rsidRPr="007D1CE3" w:rsidRDefault="007D1CE3" w:rsidP="007D1CE3">
      <w:pPr>
        <w:widowControl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7D1CE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Передати  </w:t>
      </w: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>ТЕРЕЩУКУ Володимиру Володимировичу</w:t>
      </w:r>
      <w:bookmarkStart w:id="1" w:name="_Hlk115686125"/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 </w:t>
      </w:r>
      <w:bookmarkEnd w:id="1"/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сформовану та зареєстровану земельну ділянку площею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18 кв.м (кадастровий номер: 6810600000:01:003:0072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), що розташована по вул.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Покровська, 14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м. Славуті, цільове призначення земельної ділянки: 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для будівництва та обс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луговування будівель </w:t>
      </w:r>
      <w:r w:rsidRPr="007D1C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-SA"/>
        </w:rPr>
        <w:t>торгівлі (функціональне призначення – розміщення тимчасової споруди із збірних інвентарних конструкцій)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користування на умовах оренди строком на 3 (три) роки. Встановити розмір орендної плати 12% від нормативної грошової оцінки  земельної ділянки.</w:t>
      </w:r>
    </w:p>
    <w:p w:rsidR="007D1CE3" w:rsidRPr="007D1CE3" w:rsidRDefault="007D1CE3" w:rsidP="007D1CE3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2.</w:t>
      </w: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ТЕРЕЩУКУ Володимиру Володимировичу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укласти Договір оренди землі та провести реєстрацію речового права на земельну ділянку в порядку, </w:t>
      </w:r>
      <w:r w:rsidRPr="007D1CE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визначеному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чинним законодавством.</w:t>
      </w:r>
    </w:p>
    <w:p w:rsidR="007D1CE3" w:rsidRPr="007D1CE3" w:rsidRDefault="007D1CE3" w:rsidP="007D1CE3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7D1CE3" w:rsidRPr="007D1CE3" w:rsidRDefault="007D1CE3" w:rsidP="007D1CE3">
      <w:pPr>
        <w:widowControl/>
        <w:tabs>
          <w:tab w:val="left" w:pos="1956"/>
        </w:tabs>
        <w:jc w:val="both"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7D1CE3" w:rsidRPr="007D1CE3" w:rsidRDefault="007D1CE3" w:rsidP="007D1CE3">
      <w:pPr>
        <w:widowControl/>
        <w:tabs>
          <w:tab w:val="left" w:pos="5376"/>
        </w:tabs>
        <w:jc w:val="center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Міський голова                                                                       Василь СИДОР</w:t>
      </w:r>
    </w:p>
    <w:p w:rsid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  <w:bookmarkStart w:id="2" w:name="_GoBack"/>
      <w:bookmarkEnd w:id="2"/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7D1CE3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Людмила КАЛЮЖНЮК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7D1CE3" w:rsidRPr="007D1CE3" w:rsidRDefault="007D1CE3" w:rsidP="007D1CE3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7D1CE3" w:rsidRPr="007D1CE3" w:rsidRDefault="007D1CE3" w:rsidP="007D1CE3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7D1CE3" w:rsidRPr="007D1CE3" w:rsidRDefault="007D1CE3" w:rsidP="007D1CE3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7D1CE3" w:rsidRPr="007D1CE3" w:rsidRDefault="007D1CE3" w:rsidP="007D1CE3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7D1CE3" w:rsidRPr="007D1CE3" w:rsidRDefault="007D1CE3" w:rsidP="007D1CE3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7D1CE3" w:rsidRPr="007D1CE3" w:rsidRDefault="007D1CE3" w:rsidP="007D1CE3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1CE3" w:rsidRPr="007D1CE3" w:rsidRDefault="007D1CE3" w:rsidP="007D1CE3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lang w:bidi="ar-SA"/>
        </w:rPr>
        <w:t>Начальник фінансового управління</w:t>
      </w:r>
    </w:p>
    <w:p w:rsidR="007D1CE3" w:rsidRPr="007D1CE3" w:rsidRDefault="007D1CE3" w:rsidP="007D1CE3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 </w:t>
      </w:r>
    </w:p>
    <w:p w:rsidR="007D1CE3" w:rsidRPr="007D1CE3" w:rsidRDefault="007D1CE3" w:rsidP="007D1CE3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</w:t>
      </w:r>
      <w:r w:rsidRPr="007D1CE3">
        <w:rPr>
          <w:rFonts w:ascii="Times New Roman" w:eastAsia="Times New Roman" w:hAnsi="Times New Roman" w:cs="Times New Roman"/>
          <w:kern w:val="0"/>
          <w:sz w:val="28"/>
          <w:lang w:bidi="ar-SA"/>
        </w:rPr>
        <w:t>Юлія ДОЛІШНА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7D1CE3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1CE3" w:rsidRPr="007D1CE3" w:rsidRDefault="007D1CE3" w:rsidP="007D1CE3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1CE3" w:rsidRPr="007D1CE3" w:rsidRDefault="007D1CE3" w:rsidP="007D1CE3">
      <w:pPr>
        <w:widowControl/>
        <w:tabs>
          <w:tab w:val="left" w:pos="709"/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7D1CE3" w:rsidRPr="007D1CE3" w:rsidRDefault="007D1CE3" w:rsidP="007D1CE3">
      <w:pPr>
        <w:widowControl/>
        <w:tabs>
          <w:tab w:val="left" w:pos="5376"/>
        </w:tabs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3F77BC" w:rsidRDefault="003F77BC" w:rsidP="007D1CE3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7D1CE3">
      <w:pgSz w:w="11906" w:h="16838"/>
      <w:pgMar w:top="567" w:right="761" w:bottom="426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E73D4"/>
    <w:rsid w:val="00382CC4"/>
    <w:rsid w:val="003F77BC"/>
    <w:rsid w:val="00414615"/>
    <w:rsid w:val="00444865"/>
    <w:rsid w:val="005148D0"/>
    <w:rsid w:val="005B1CA6"/>
    <w:rsid w:val="00696EED"/>
    <w:rsid w:val="006C3219"/>
    <w:rsid w:val="00700AC1"/>
    <w:rsid w:val="007D1CE3"/>
    <w:rsid w:val="00876157"/>
    <w:rsid w:val="009C6FD0"/>
    <w:rsid w:val="00A40C50"/>
    <w:rsid w:val="00A6059A"/>
    <w:rsid w:val="00A95970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170C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2022-09-09T11:31:00Z</cp:lastPrinted>
  <dcterms:created xsi:type="dcterms:W3CDTF">2022-04-28T08:26:00Z</dcterms:created>
  <dcterms:modified xsi:type="dcterms:W3CDTF">2022-10-24T14:04:00Z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