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109" w:type="dxa"/>
        <w:tblLayout w:type="fixed"/>
        <w:tblCellMar>
          <w:top w:w="0" w:type="dxa"/>
          <w:start w:w="108" w:type="dxa"/>
          <w:bottom w:w="0" w:type="dxa"/>
          <w:end w:w="108" w:type="dxa"/>
        </w:tblCellMar>
        <w:tblLook w:firstRow="1" w:noVBand="1" w:lastRow="0" w:firstColumn="1" w:lastColumn="0" w:noHBand="0" w:val="04a0"/>
      </w:tblPr>
      <w:tblGrid>
        <w:gridCol w:w="3223"/>
        <w:gridCol w:w="3190"/>
        <w:gridCol w:w="3193"/>
      </w:tblGrid>
      <w:tr>
        <w:trPr/>
        <w:tc>
          <w:tcPr>
            <w:tcW w:w="322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38-22</w:t>
            </w:r>
            <w:bookmarkStart w:id="0" w:name="_GoBack"/>
            <w:bookmarkEnd w:id="0"/>
            <w:r>
              <w:rPr>
                <w:rFonts w:ascii="Times New Roman" w:hAnsi="Times New Roman"/>
                <w:sz w:val="28"/>
                <w:szCs w:val="28"/>
              </w:rPr>
              <w:t>/2022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Приміській</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6810600000:02:005:0087</w:t>
      </w:r>
      <w:r>
        <w:rPr>
          <w:rFonts w:eastAsia="Times New Roman" w:cs="Times New Roman" w:ascii="Times New Roman" w:hAnsi="Times New Roman"/>
          <w:kern w:val="0"/>
          <w:sz w:val="28"/>
          <w:szCs w:val="28"/>
          <w:lang w:bidi="ar-SA"/>
        </w:rPr>
        <w:t>)</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розглянувши Звіт №124 про експертну грошову оцінку земельної ділянки несільськогосподарського призначення від </w:t>
      </w:r>
      <w:bookmarkStart w:id="1" w:name="_Hlk118466229"/>
      <w:r>
        <w:rPr>
          <w:rFonts w:eastAsia="Times New Roman" w:cs="Times New Roman" w:ascii="Times New Roman" w:hAnsi="Times New Roman"/>
          <w:bCs/>
          <w:kern w:val="0"/>
          <w:sz w:val="28"/>
          <w:szCs w:val="28"/>
          <w:lang w:bidi="ar-SA"/>
        </w:rPr>
        <w:t>04.10.2022</w:t>
      </w:r>
      <w:bookmarkEnd w:id="1"/>
      <w:r>
        <w:rPr>
          <w:rFonts w:eastAsia="Times New Roman" w:cs="Times New Roman" w:ascii="Times New Roman" w:hAnsi="Times New Roman"/>
          <w:bCs/>
          <w:kern w:val="0"/>
          <w:sz w:val="28"/>
          <w:szCs w:val="28"/>
          <w:lang w:bidi="ar-SA"/>
        </w:rPr>
        <w:t>, виконаний ФОП ПРИМАЧЕНКОМ М.В. (Рецензія на звіт від 04.10.2022, виконана ТОВ «ІЗЯСЛАВ-ОЦІНКА»),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 xml:space="preserve">Затвердити Звіт №124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0,0750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bookmarkStart w:id="2" w:name="_Hlk117065090"/>
      <w:r>
        <w:rPr>
          <w:rFonts w:eastAsia="Calibri" w:cs="Times New Roman" w:ascii="Times New Roman" w:hAnsi="Times New Roman"/>
          <w:kern w:val="0"/>
          <w:sz w:val="28"/>
          <w:szCs w:val="28"/>
          <w:lang w:bidi="ar-SA"/>
        </w:rPr>
        <w:t>для будівництва та обслуговування будівель торгівлі</w:t>
      </w:r>
      <w:r>
        <w:rPr>
          <w:rFonts w:eastAsia="Times New Roman" w:cs="Times New Roman" w:ascii="Times New Roman" w:hAnsi="Times New Roman"/>
          <w:bCs/>
          <w:kern w:val="0"/>
          <w:sz w:val="28"/>
          <w:szCs w:val="28"/>
          <w:lang w:bidi="ar-SA"/>
        </w:rPr>
        <w:t xml:space="preserve"> </w:t>
      </w:r>
      <w:bookmarkEnd w:id="2"/>
      <w:r>
        <w:rPr>
          <w:rFonts w:eastAsia="Times New Roman" w:cs="Times New Roman" w:ascii="Times New Roman" w:hAnsi="Times New Roman"/>
          <w:bCs/>
          <w:kern w:val="0"/>
          <w:sz w:val="28"/>
          <w:szCs w:val="28"/>
          <w:lang w:bidi="ar-SA"/>
        </w:rPr>
        <w:t xml:space="preserve">(КВЦПЗ 03.07), що розташована: вул. </w:t>
      </w:r>
      <w:r>
        <w:rPr>
          <w:rFonts w:eastAsia="Calibri" w:cs="Times New Roman" w:ascii="Times New Roman" w:hAnsi="Times New Roman"/>
          <w:bCs/>
          <w:kern w:val="0"/>
          <w:sz w:val="28"/>
          <w:szCs w:val="28"/>
          <w:lang w:bidi="ar-SA"/>
        </w:rPr>
        <w:t>Приміська</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6810600000:</w:t>
      </w:r>
      <w:r>
        <w:rPr>
          <w:rFonts w:eastAsia="Calibri" w:cs="Times New Roman" w:ascii="Times New Roman" w:hAnsi="Times New Roman"/>
          <w:bCs/>
          <w:kern w:val="0"/>
          <w:sz w:val="28"/>
          <w:szCs w:val="28"/>
          <w:lang w:bidi="ar-SA"/>
        </w:rPr>
        <w:t xml:space="preserve">02:005:0087 </w:t>
      </w:r>
      <w:r>
        <w:rPr>
          <w:rFonts w:eastAsia="Times New Roman" w:cs="Times New Roman" w:ascii="Times New Roman" w:hAnsi="Times New Roman"/>
          <w:kern w:val="0"/>
          <w:sz w:val="28"/>
          <w:szCs w:val="28"/>
          <w:lang w:bidi="ar-SA"/>
        </w:rPr>
        <w:t xml:space="preserve">від  </w:t>
      </w:r>
      <w:r>
        <w:rPr>
          <w:rFonts w:eastAsia="Times New Roman" w:cs="Times New Roman" w:ascii="Times New Roman" w:hAnsi="Times New Roman"/>
          <w:bCs/>
          <w:kern w:val="0"/>
          <w:sz w:val="28"/>
          <w:szCs w:val="28"/>
          <w:lang w:bidi="ar-SA"/>
        </w:rPr>
        <w:t>04.10.2022</w:t>
      </w:r>
      <w:r>
        <w:rPr>
          <w:rFonts w:eastAsia="Times New Roman" w:cs="Times New Roman" w:ascii="Times New Roman" w:hAnsi="Times New Roman"/>
          <w:kern w:val="0"/>
          <w:sz w:val="28"/>
          <w:szCs w:val="28"/>
          <w:lang w:bidi="ar-SA"/>
        </w:rPr>
        <w:t>,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2.Продати у власність земельну ділянку площею 0,0750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r>
        <w:rPr>
          <w:rFonts w:eastAsia="Calibri" w:cs="Times New Roman" w:ascii="Times New Roman" w:hAnsi="Times New Roman"/>
          <w:kern w:val="0"/>
          <w:sz w:val="28"/>
          <w:szCs w:val="28"/>
          <w:lang w:bidi="ar-SA"/>
        </w:rPr>
        <w:t>для будівництва та обслуговування будівель торгівлі</w:t>
      </w:r>
      <w:r>
        <w:rPr>
          <w:rFonts w:eastAsia="Times New Roman" w:cs="Times New Roman" w:ascii="Times New Roman" w:hAnsi="Times New Roman"/>
          <w:bCs/>
          <w:kern w:val="0"/>
          <w:sz w:val="28"/>
          <w:szCs w:val="28"/>
          <w:lang w:bidi="ar-SA"/>
        </w:rPr>
        <w:t xml:space="preserve"> (КВЦПЗ 03.07), що розташована: вул. </w:t>
      </w:r>
      <w:r>
        <w:rPr>
          <w:rFonts w:eastAsia="Calibri" w:cs="Times New Roman" w:ascii="Times New Roman" w:hAnsi="Times New Roman"/>
          <w:bCs/>
          <w:kern w:val="0"/>
          <w:sz w:val="28"/>
          <w:szCs w:val="28"/>
          <w:lang w:bidi="ar-SA"/>
        </w:rPr>
        <w:t>Приміська</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lang w:bidi="ar-SA"/>
        </w:rPr>
        <w:t>6810600000:</w:t>
      </w:r>
      <w:r>
        <w:rPr>
          <w:rFonts w:eastAsia="Calibri" w:cs="Times New Roman" w:ascii="Times New Roman" w:hAnsi="Times New Roman"/>
          <w:bCs/>
          <w:kern w:val="0"/>
          <w:sz w:val="28"/>
          <w:szCs w:val="28"/>
          <w:lang w:bidi="ar-SA"/>
        </w:rPr>
        <w:t xml:space="preserve">02:005:0087 </w:t>
      </w:r>
      <w:r>
        <w:rPr>
          <w:rFonts w:eastAsia="Times New Roman" w:cs="Times New Roman" w:ascii="Times New Roman" w:hAnsi="Times New Roman"/>
          <w:bCs/>
          <w:kern w:val="0"/>
          <w:sz w:val="28"/>
          <w:szCs w:val="28"/>
          <w:lang w:bidi="ar-SA"/>
        </w:rPr>
        <w:t>на конкурентних засадах (на земельних торгах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пункті 2 даного рішення в розмірі </w:t>
      </w:r>
      <w:bookmarkStart w:id="3" w:name="_Hlk105673883"/>
      <w:r>
        <w:rPr>
          <w:rFonts w:eastAsia="Times New Roman" w:cs="Times New Roman" w:ascii="Times New Roman" w:hAnsi="Times New Roman"/>
          <w:kern w:val="0"/>
          <w:sz w:val="28"/>
          <w:szCs w:val="28"/>
          <w:lang w:bidi="ar-SA"/>
        </w:rPr>
        <w:t>194505 гривень (сто дев’яносто чотири тисячі п’ятсот п’ять гривень 00 копійок)</w:t>
      </w:r>
      <w:bookmarkEnd w:id="3"/>
      <w:r>
        <w:rPr>
          <w:rFonts w:eastAsia="Times New Roman" w:cs="Times New Roman" w:ascii="Times New Roman" w:hAnsi="Times New Roman"/>
          <w:kern w:val="0"/>
          <w:sz w:val="28"/>
          <w:szCs w:val="28"/>
          <w:lang w:bidi="ar-SA"/>
        </w:rPr>
        <w:t xml:space="preserve">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7.</w:t>
      </w:r>
      <w:r>
        <w:rPr>
          <w:rFonts w:eastAsia="Times New Roman" w:cs="Times New Roman" w:ascii="Times New Roman" w:hAnsi="Times New Roman"/>
          <w:bCs/>
          <w:color w:val="000000"/>
          <w:kern w:val="0"/>
          <w:sz w:val="28"/>
          <w:szCs w:val="28"/>
          <w:lang w:bidi="ar-SA"/>
        </w:rPr>
        <w:t>Зобов’язати Переможця земельних торгів у формі електронного аукціону на виконання</w:t>
      </w:r>
      <w:r>
        <w:rPr>
          <w:rFonts w:eastAsia="Times New Roman" w:cs="Times New Roman" w:ascii="Times New Roman" w:hAnsi="Times New Roman"/>
          <w:bCs/>
          <w:color w:val="FF0000"/>
          <w:kern w:val="0"/>
          <w:sz w:val="28"/>
          <w:szCs w:val="28"/>
          <w:lang w:bidi="ar-SA"/>
        </w:rPr>
        <w:t> </w:t>
      </w:r>
      <w:r>
        <w:rPr>
          <w:rFonts w:eastAsia="Times New Roman" w:cs="Times New Roman" w:ascii="Times New Roman" w:hAnsi="Times New Roman"/>
          <w:bCs/>
          <w:color w:val="000000"/>
          <w:kern w:val="0"/>
          <w:sz w:val="28"/>
          <w:szCs w:val="28"/>
          <w:lang w:bidi="ar-SA"/>
        </w:rPr>
        <w:t xml:space="preserve"> частини 24 статті 137 </w:t>
      </w:r>
      <w:r>
        <w:rPr>
          <w:rFonts w:eastAsia="Times New Roman" w:cs="Times New Roman" w:ascii="Times New Roman" w:hAnsi="Times New Roman"/>
          <w:bCs/>
          <w:kern w:val="0"/>
          <w:sz w:val="28"/>
          <w:szCs w:val="28"/>
          <w:lang w:bidi="ar-SA"/>
        </w:rPr>
        <w:t>Земельного кодексу України</w:t>
      </w:r>
      <w:r>
        <w:rPr>
          <w:rFonts w:eastAsia="Times New Roman" w:cs="Times New Roman" w:ascii="Times New Roman" w:hAnsi="Times New Roman"/>
          <w:bCs/>
          <w:color w:val="000000"/>
          <w:kern w:val="0"/>
          <w:sz w:val="28"/>
          <w:szCs w:val="28"/>
          <w:lang w:bidi="ar-SA"/>
        </w:rPr>
        <w:t xml:space="preserve"> відшкодувати витрати, </w:t>
      </w:r>
      <w:bookmarkStart w:id="4" w:name="_Hlk87813365"/>
      <w:r>
        <w:rPr>
          <w:rFonts w:eastAsia="Times New Roman" w:cs="Times New Roman" w:ascii="Times New Roman" w:hAnsi="Times New Roman"/>
          <w:bCs/>
          <w:color w:val="000000"/>
          <w:kern w:val="0"/>
          <w:sz w:val="28"/>
          <w:szCs w:val="28"/>
          <w:lang w:bidi="ar-SA"/>
        </w:rPr>
        <w:t xml:space="preserve">здійсненні на підготовку Лоту до проведення земельних торгів </w:t>
      </w:r>
      <w:r>
        <w:rPr>
          <w:rFonts w:eastAsia="Times New Roman" w:cs="Times New Roman" w:ascii="Times New Roman" w:hAnsi="Times New Roman"/>
          <w:bCs/>
          <w:kern w:val="0"/>
          <w:sz w:val="28"/>
          <w:szCs w:val="28"/>
          <w:lang w:bidi="ar-SA"/>
        </w:rPr>
        <w:t>в сумі 8950 гривень 70 копійок (вісім тисяч дев’ятсот п’ятдесят гривень 70 копійок)</w:t>
      </w:r>
      <w:bookmarkEnd w:id="4"/>
      <w:r>
        <w:rPr>
          <w:rFonts w:eastAsia="Times New Roman" w:cs="Times New Roman" w:ascii="Times New Roman" w:hAnsi="Times New Roman"/>
          <w:bCs/>
          <w:kern w:val="0"/>
          <w:sz w:val="28"/>
          <w:szCs w:val="28"/>
          <w:lang w:bidi="ar-SA"/>
        </w:rPr>
        <w:t>, на підставі укладених договорів.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w:t>
      </w:r>
      <w:r>
        <w:rPr>
          <w:rFonts w:eastAsia="Times New Roman" w:cs="Times New Roman" w:ascii="Times New Roman" w:hAnsi="Times New Roman"/>
          <w:bCs/>
          <w:color w:val="000000"/>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kern w:val="0"/>
          <w:sz w:val="28"/>
          <w:szCs w:val="28"/>
          <w:shd w:fill="FFFFFF" w:val="clear"/>
          <w:lang w:bidi="ar-SA"/>
        </w:rPr>
        <w:t>, згідно з </w:t>
      </w:r>
      <w:hyperlink r:id="rId3">
        <w:r>
          <w:rPr>
            <w:rFonts w:eastAsia="Times New Roman" w:cs="Times New Roman" w:ascii="Times New Roman" w:hAnsi="Times New Roman"/>
            <w:bCs/>
            <w:color w:val="000000"/>
            <w:kern w:val="0"/>
            <w:sz w:val="28"/>
            <w:szCs w:val="28"/>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10.Контроль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ind w:firstLine="851"/>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t xml:space="preserve">  </w:t>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 xml:space="preserve">Додаток №1 до рішення       </w:t>
      </w:r>
    </w:p>
    <w:p>
      <w:pPr>
        <w:pStyle w:val="Normal"/>
        <w:widowControl/>
        <w:spacing w:before="0" w:after="0"/>
        <w:contextualSpacing/>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Славутської міської ради від 07.12.2022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38-22/2022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Приміській</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6810600000:02:005:0087</w:t>
      </w:r>
    </w:p>
    <w:p>
      <w:pPr>
        <w:pStyle w:val="Normal"/>
        <w:widowControl/>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keepNext w:val="true"/>
        <w:widowControl/>
        <w:numPr>
          <w:ilvl w:val="0"/>
          <w:numId w:val="0"/>
        </w:numPr>
        <w:jc w:val="center"/>
        <w:outlineLvl w:val="0"/>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keepNext w:val="true"/>
        <w:widowControl/>
        <w:numPr>
          <w:ilvl w:val="0"/>
          <w:numId w:val="0"/>
        </w:numPr>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 ________________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2"/>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Земельна ділянка, визначена Продавцем рішенням Славутської міської ради від </w:t>
      </w:r>
      <w:r>
        <w:rPr>
          <w:rFonts w:eastAsia="Calibri" w:cs="Times New Roman" w:ascii="Times New Roman" w:hAnsi="Times New Roman"/>
          <w:kern w:val="0"/>
          <w:sz w:val="28"/>
          <w:szCs w:val="28"/>
          <w:lang w:bidi="ar-SA"/>
        </w:rPr>
        <w:t xml:space="preserve">29.08.2014 №11.7-45/2014 «Про затвердження переліку інвестиційно - привабливих земельних ділянок несільськогосподарського призначення продаж та продаж прав на які підлягають на конкурентних засадах (земельних торгах)», </w:t>
      </w:r>
      <w:r>
        <w:rPr>
          <w:rFonts w:eastAsia="Calibri" w:cs="Times New Roman" w:ascii="Times New Roman" w:hAnsi="Times New Roman"/>
          <w:bCs/>
          <w:kern w:val="0"/>
          <w:sz w:val="28"/>
          <w:szCs w:val="28"/>
          <w:lang w:bidi="ar-SA"/>
        </w:rPr>
        <w:t>рішенням Славутської міської ради №</w:t>
      </w:r>
      <w:r>
        <w:rPr>
          <w:rFonts w:eastAsia="Calibri" w:cs="Times New Roman" w:ascii="Times New Roman" w:hAnsi="Times New Roman"/>
          <w:kern w:val="0"/>
          <w:sz w:val="28"/>
          <w:szCs w:val="28"/>
          <w:lang w:bidi="ar-SA"/>
        </w:rPr>
        <w:t xml:space="preserve">30-2/2020 </w:t>
      </w:r>
      <w:r>
        <w:rPr>
          <w:rFonts w:eastAsia="Calibri" w:cs="Times New Roman" w:ascii="Times New Roman" w:hAnsi="Times New Roman"/>
          <w:bCs/>
          <w:kern w:val="0"/>
          <w:sz w:val="28"/>
          <w:szCs w:val="28"/>
          <w:lang w:bidi="ar-SA"/>
        </w:rPr>
        <w:t xml:space="preserve">від 22.10.2020 року «Про внесення змін до рішень міської ради» </w:t>
      </w:r>
      <w:bookmarkStart w:id="5" w:name="_Hlk118902747"/>
      <w:r>
        <w:rPr>
          <w:rFonts w:eastAsia="Times New Roman" w:cs="Times New Roman" w:ascii="Times New Roman" w:hAnsi="Times New Roman"/>
          <w:kern w:val="0"/>
          <w:sz w:val="28"/>
          <w:szCs w:val="28"/>
          <w:lang w:bidi="ar-SA"/>
        </w:rPr>
        <w:t>та рішенням Славутської міської ради від «__» _______ 2022 року  №___-   /2022 «Про проведення земельних торгів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Приміській</w:t>
      </w:r>
      <w:r>
        <w:rPr>
          <w:rFonts w:eastAsia="Times New Roman" w:cs="Times New Roman" w:ascii="Times New Roman" w:hAnsi="Times New Roman"/>
          <w:bCs/>
          <w:kern w:val="0"/>
          <w:sz w:val="28"/>
          <w:szCs w:val="28"/>
          <w:lang w:bidi="ar-SA"/>
        </w:rPr>
        <w:t>, 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6810600000:02:005:0087</w:t>
      </w:r>
      <w:r>
        <w:rPr>
          <w:rFonts w:eastAsia="Times New Roman" w:cs="Times New Roman" w:ascii="Times New Roman" w:hAnsi="Times New Roman"/>
          <w:kern w:val="0"/>
          <w:sz w:val="28"/>
          <w:szCs w:val="28"/>
          <w:lang w:bidi="ar-SA"/>
        </w:rPr>
        <w:t xml:space="preserve">)», </w:t>
      </w:r>
      <w:bookmarkEnd w:id="5"/>
      <w:r>
        <w:rPr>
          <w:rFonts w:eastAsia="Times New Roman" w:cs="Times New Roman" w:ascii="Times New Roman" w:hAnsi="Times New Roman"/>
          <w:kern w:val="0"/>
          <w:sz w:val="28"/>
          <w:szCs w:val="28"/>
          <w:lang w:bidi="ar-SA"/>
        </w:rPr>
        <w:t>характеризується такими ознаками:</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w:t>
      </w:r>
      <w:r>
        <w:rPr>
          <w:rFonts w:eastAsia="Calibri" w:cs="Times New Roman" w:ascii="Times New Roman" w:hAnsi="Times New Roman"/>
          <w:bCs/>
          <w:kern w:val="0"/>
          <w:sz w:val="28"/>
          <w:szCs w:val="28"/>
          <w:lang w:bidi="ar-SA"/>
        </w:rPr>
        <w:t xml:space="preserve"> Приміська</w:t>
      </w:r>
      <w:r>
        <w:rPr>
          <w:rFonts w:eastAsia="Times New Roman" w:cs="Times New Roman" w:ascii="Times New Roman" w:hAnsi="Times New Roman"/>
          <w:kern w:val="0"/>
          <w:sz w:val="28"/>
          <w:szCs w:val="28"/>
          <w:lang w:bidi="ar-SA"/>
        </w:rPr>
        <w:t>;</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кадастровий номер земельної ділянки: 6810600000:02:005:0087;</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750 кв.м;</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категорія земель: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kern w:val="0"/>
          <w:sz w:val="28"/>
          <w:szCs w:val="28"/>
          <w:lang w:bidi="ar-SA"/>
        </w:rPr>
        <w:t xml:space="preserve">; </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цільове призначення земельної ділянки: </w:t>
      </w:r>
      <w:r>
        <w:rPr>
          <w:rFonts w:eastAsia="Calibri" w:cs="Times New Roman" w:ascii="Times New Roman" w:hAnsi="Times New Roman"/>
          <w:kern w:val="0"/>
          <w:sz w:val="28"/>
          <w:szCs w:val="28"/>
          <w:lang w:bidi="ar-SA"/>
        </w:rPr>
        <w:t>для будівництва та обслуговування будівель торгівлі</w:t>
      </w:r>
      <w:r>
        <w:rPr>
          <w:rFonts w:eastAsia="Times New Roman" w:cs="Times New Roman" w:ascii="Times New Roman" w:hAnsi="Times New Roman"/>
          <w:kern w:val="0"/>
          <w:sz w:val="28"/>
          <w:szCs w:val="28"/>
          <w:lang w:bidi="ar-SA"/>
        </w:rPr>
        <w:t>.</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1.3.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29.12.2020, номер запису про право власності </w:t>
      </w:r>
      <w:r>
        <w:rPr>
          <w:rFonts w:eastAsia="Calibri" w:cs="Times New Roman" w:ascii="Times New Roman" w:hAnsi="Times New Roman"/>
          <w:kern w:val="0"/>
          <w:sz w:val="28"/>
          <w:szCs w:val="22"/>
          <w:lang w:bidi="ar-SA"/>
        </w:rPr>
        <w:t>/довірчої власності: 40018575</w:t>
      </w:r>
      <w:r>
        <w:rPr>
          <w:rFonts w:eastAsia="Times New Roman" w:cs="Times New Roman" w:ascii="Times New Roman" w:hAnsi="Times New Roman"/>
          <w:kern w:val="0"/>
          <w:sz w:val="28"/>
          <w:szCs w:val="28"/>
          <w:lang w:bidi="ar-SA"/>
        </w:rPr>
        <w:t>, що підтверджується витягом з Державного реєстру речових прав на нерухоме майно про реєстрацію права власності №239561847 від 31.12.2020.</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Реєстраційний номер земельної ділянки в Державному реєстрі речових прав на нерухоме майно: </w:t>
      </w:r>
      <w:r>
        <w:rPr>
          <w:rFonts w:eastAsia="Calibri" w:cs="Times New Roman" w:ascii="Times New Roman" w:hAnsi="Times New Roman"/>
          <w:kern w:val="0"/>
          <w:sz w:val="28"/>
          <w:szCs w:val="22"/>
          <w:lang w:bidi="ar-SA"/>
        </w:rPr>
        <w:t>2264166068106</w:t>
      </w:r>
      <w:r>
        <w:rPr>
          <w:rFonts w:eastAsia="Times New Roman" w:cs="Times New Roman" w:ascii="Times New Roman" w:hAnsi="Times New Roman"/>
          <w:kern w:val="0"/>
          <w:sz w:val="28"/>
          <w:szCs w:val="28"/>
          <w:lang w:bidi="ar-SA"/>
        </w:rPr>
        <w:t>.</w:t>
      </w:r>
    </w:p>
    <w:p>
      <w:pPr>
        <w:pStyle w:val="Normal"/>
        <w:widowControl/>
        <w:ind w:firstLine="426"/>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1.4. Згідно до витягу з Державного земельного кадастру про земельну ділянку НВ-6800918572022, виданого 07.11.2022 року. Обмеження у використанні земельної ділянки: санітарні зони, відстані, розриви  - площа 0.0750 га; зона особливого режиму забудови  - площа 0.0189 га; охоронна зона навколо (уздовж) об’єкта енергетичної системи </w:t>
      </w:r>
      <w:bookmarkStart w:id="6" w:name="_Hlk118971219"/>
      <w:r>
        <w:rPr>
          <w:rFonts w:eastAsia="Times New Roman" w:cs="Times New Roman" w:ascii="Times New Roman" w:hAnsi="Times New Roman"/>
          <w:kern w:val="0"/>
          <w:sz w:val="28"/>
          <w:szCs w:val="28"/>
          <w:lang w:bidi="ar-SA"/>
        </w:rPr>
        <w:t>– площа 0.0126 га</w:t>
      </w:r>
      <w:bookmarkEnd w:id="6"/>
      <w:r>
        <w:rPr>
          <w:rFonts w:eastAsia="Times New Roman" w:cs="Times New Roman" w:ascii="Times New Roman" w:hAnsi="Times New Roman"/>
          <w:kern w:val="0"/>
          <w:sz w:val="28"/>
          <w:szCs w:val="28"/>
          <w:lang w:bidi="ar-SA"/>
        </w:rPr>
        <w:t>.</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1.5.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землі комунальної власності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Б до А землі ТОВ « Славутський покрівельний завод».</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- 0.0750; в т. ч. за земельними угіддями, гектарів: землi під соціально-культурними об’єктами -0.0750.</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1.7. Цей Договір підлягає обов'язковому нотаріальному посвідченню.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p>
    <w:p>
      <w:pPr>
        <w:pStyle w:val="Normal"/>
        <w:widowControl/>
        <w:tabs>
          <w:tab w:val="clear" w:pos="709"/>
          <w:tab w:val="left" w:pos="284" w:leader="none"/>
        </w:tabs>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«21» жовтня 2022 року №___-21/2022 «Про проведення земельних торгів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Приміській</w:t>
      </w:r>
      <w:r>
        <w:rPr>
          <w:rFonts w:eastAsia="Times New Roman" w:cs="Times New Roman" w:ascii="Times New Roman" w:hAnsi="Times New Roman"/>
          <w:bCs/>
          <w:kern w:val="0"/>
          <w:sz w:val="28"/>
          <w:szCs w:val="28"/>
          <w:lang w:bidi="ar-SA"/>
        </w:rPr>
        <w:t>, 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6810600000:02:005:0087</w:t>
      </w:r>
      <w:r>
        <w:rPr>
          <w:rFonts w:eastAsia="Times New Roman" w:cs="Times New Roman" w:ascii="Times New Roman" w:hAnsi="Times New Roman"/>
          <w:kern w:val="0"/>
          <w:sz w:val="28"/>
          <w:szCs w:val="28"/>
          <w:lang w:bidi="ar-SA"/>
        </w:rPr>
        <w:t>)»,  стартова ціна продажу земельної ділянки становить 194505 гривень (сто дев’яносто чотири тисячі п’ятсот п’ять гривень 00 копійок).</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3. ПРАВА І </w:t>
      </w:r>
      <w:r>
        <w:rPr>
          <w:rFonts w:eastAsia="Times New Roman" w:cs="Times New Roman" w:ascii="Times New Roman" w:hAnsi="Times New Roman"/>
          <w:b/>
          <w:bCs/>
          <w:kern w:val="0"/>
          <w:sz w:val="28"/>
          <w:szCs w:val="28"/>
          <w:lang w:bidi="ar-SA"/>
        </w:rPr>
        <w:t>ОБОВ’ЯЗКИ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д</w:t>
      </w:r>
      <w:r>
        <w:rPr>
          <w:rFonts w:eastAsia="Times New Roman" w:cs="Times New Roman" w:ascii="Times New Roman" w:hAnsi="Times New Roman"/>
          <w:color w:val="000000"/>
          <w:kern w:val="0"/>
          <w:sz w:val="28"/>
          <w:szCs w:val="28"/>
          <w:lang w:bidi="ar-SA"/>
        </w:rPr>
        <w:t>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color w:val="000000"/>
          <w:kern w:val="0"/>
          <w:sz w:val="28"/>
          <w:szCs w:val="28"/>
          <w:lang w:bidi="ar-SA"/>
        </w:rPr>
        <w:t xml:space="preserve"> разі виявлення інженерних мереж, що розміщені на території земельної ділянки, переможцю земельних торгів за власний рахунок здійснити заходи щодо їх винесення за межі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ВИНИКНЕННЯ ПРАВА ВЛАСНОСТІ НА ЗЕМЕЛЬНУ ДІЛЯНКУ.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РИЗИК ВИПАДКОВОГО ПОГІРШЕННЯ АБО ВИПАДКОВОГО</w:t>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ВІДПОВІДАЛЬНІСТЬ СТОРІН.</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прострочки,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ВИРІШЕННЯ СПОРІВ.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ЗМІНИ УМОВ ДОГОВОРУ ТА ЙОГО РОЗІРВАННЯ.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numPr>
          <w:ilvl w:val="0"/>
          <w:numId w:val="3"/>
        </w:numPr>
        <w:tabs>
          <w:tab w:val="clear" w:pos="709"/>
          <w:tab w:val="left" w:pos="540" w:leader="none"/>
        </w:tabs>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ВИТРАТИ.</w:t>
      </w:r>
    </w:p>
    <w:p>
      <w:pPr>
        <w:pStyle w:val="Normal"/>
        <w:widowControl/>
        <w:numPr>
          <w:ilvl w:val="1"/>
          <w:numId w:val="3"/>
        </w:numPr>
        <w:tabs>
          <w:tab w:val="left" w:pos="709" w:leader="none"/>
        </w:tabs>
        <w:spacing w:lineRule="auto" w:line="276"/>
        <w:ind w:start="0"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ДОДАТКОВІ УМОВИ.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widowControl/>
        <w:rPr>
          <w:rFonts w:ascii="Times New Roman" w:hAnsi="Times New Roman" w:eastAsia="Times New Roman" w:cs="Times New Roman"/>
          <w:kern w:val="0"/>
          <w:sz w:val="28"/>
          <w:lang w:bidi="ar-SA"/>
        </w:rPr>
      </w:pPr>
      <w:r>
        <w:rPr>
          <w:rFonts w:eastAsia="Times New Roman" w:cs="Times New Roman" w:ascii="Times New Roman" w:hAnsi="Times New Roman"/>
          <w:kern w:val="0"/>
          <w:sz w:val="28"/>
          <w:szCs w:val="28"/>
          <w:lang w:bidi="ar-SA"/>
        </w:rPr>
        <w:t xml:space="preserve">Секретар Славутської міської ради                                Світлана </w:t>
      </w:r>
      <w:r>
        <w:rPr>
          <w:rFonts w:eastAsia="Times New Roman" w:cs="Times New Roman" w:ascii="Times New Roman" w:hAnsi="Times New Roman"/>
          <w:bCs/>
          <w:kern w:val="0"/>
          <w:sz w:val="28"/>
          <w:szCs w:val="28"/>
          <w:lang w:bidi="ar-SA"/>
        </w:rPr>
        <w:t xml:space="preserve">ФЕДОРЧУК </w:t>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3">
    <w:lvl w:ilvl="0">
      <w:start w:val="4"/>
      <w:numFmt w:val="decimal"/>
      <w:lvlText w:val="%1."/>
      <w:lvlJc w:val="start"/>
      <w:pPr>
        <w:tabs>
          <w:tab w:val="num" w:pos="720"/>
        </w:tabs>
        <w:ind w:start="720" w:hanging="360"/>
      </w:pPr>
      <w:rPr>
        <w:b/>
        <w:szCs w:val="28"/>
        <w:bCs/>
        <w:rFonts w:eastAsia="Times New Roman"/>
        <w:lang w:eastAsia="zh-CN"/>
      </w:rPr>
    </w:lvl>
    <w:lvl w:ilvl="1">
      <w:start w:val="1"/>
      <w:numFmt w:val="decimal"/>
      <w:lvlText w:val="%1.%2"/>
      <w:lvlJc w:val="start"/>
      <w:pPr>
        <w:tabs>
          <w:tab w:val="num" w:pos="1020"/>
        </w:tabs>
        <w:ind w:start="1020" w:hanging="660"/>
      </w:pPr>
      <w:rPr>
        <w:szCs w:val="28"/>
        <w:rFonts w:eastAsia="Times New Roman"/>
        <w:lang w:eastAsia="zh-CN"/>
      </w:rPr>
    </w:lvl>
    <w:lvl w:ilvl="2">
      <w:start w:val="1"/>
      <w:numFmt w:val="decimal"/>
      <w:lvlText w:val="%1.%2.%3"/>
      <w:lvlJc w:val="start"/>
      <w:pPr>
        <w:tabs>
          <w:tab w:val="num" w:pos="1080"/>
        </w:tabs>
        <w:ind w:start="1080" w:hanging="720"/>
      </w:pPr>
    </w:lvl>
    <w:lvl w:ilvl="3">
      <w:start w:val="1"/>
      <w:numFmt w:val="decimal"/>
      <w:lvlText w:val="%1.%2.%3.%4"/>
      <w:lvlJc w:val="start"/>
      <w:pPr>
        <w:tabs>
          <w:tab w:val="num" w:pos="1080"/>
        </w:tabs>
        <w:ind w:start="1080" w:hanging="720"/>
      </w:pPr>
    </w:lvl>
    <w:lvl w:ilvl="4">
      <w:start w:val="1"/>
      <w:numFmt w:val="decimal"/>
      <w:lvlText w:val="%1.%2.%3.%4.%5"/>
      <w:lvlJc w:val="start"/>
      <w:pPr>
        <w:tabs>
          <w:tab w:val="num" w:pos="1440"/>
        </w:tabs>
        <w:ind w:start="1440" w:hanging="1080"/>
      </w:pPr>
    </w:lvl>
    <w:lvl w:ilvl="5">
      <w:start w:val="1"/>
      <w:numFmt w:val="decimal"/>
      <w:lvlText w:val="%1.%2.%3.%4.%5.%6"/>
      <w:lvlJc w:val="start"/>
      <w:pPr>
        <w:tabs>
          <w:tab w:val="num" w:pos="1440"/>
        </w:tabs>
        <w:ind w:start="1440" w:hanging="1080"/>
      </w:pPr>
    </w:lvl>
    <w:lvl w:ilvl="6">
      <w:start w:val="1"/>
      <w:numFmt w:val="decimal"/>
      <w:lvlText w:val="%1.%2.%3.%4.%5.%6.%7"/>
      <w:lvlJc w:val="start"/>
      <w:pPr>
        <w:tabs>
          <w:tab w:val="num" w:pos="1800"/>
        </w:tabs>
        <w:ind w:start="1800" w:hanging="1440"/>
      </w:pPr>
    </w:lvl>
    <w:lvl w:ilvl="7">
      <w:start w:val="1"/>
      <w:numFmt w:val="decimal"/>
      <w:lvlText w:val="%1.%2.%3.%4.%5.%6.%7.%8"/>
      <w:lvlJc w:val="start"/>
      <w:pPr>
        <w:tabs>
          <w:tab w:val="num" w:pos="1800"/>
        </w:tabs>
        <w:ind w:start="1800" w:hanging="1440"/>
      </w:pPr>
    </w:lvl>
    <w:lvl w:ilvl="8">
      <w:start w:val="1"/>
      <w:numFmt w:val="decimal"/>
      <w:lvlText w:val="%1.%2.%3.%4.%5.%6.%7.%8.%9"/>
      <w:lvlJc w:val="start"/>
      <w:pPr>
        <w:tabs>
          <w:tab w:val="num" w:pos="2160"/>
        </w:tabs>
        <w:ind w:start="2160" w:hanging="180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name w:val="Гіперпосилання"/>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rFonts w:eastAsia="Times New Roman"/>
      <w:szCs w:val="28"/>
      <w:lang w:eastAsia="zh-CN"/>
    </w:rPr>
  </w:style>
  <w:style w:type="character" w:styleId="WW8Num4z0" w:customStyle="1">
    <w:name w:val="WW8Num4z0"/>
    <w:qFormat/>
    <w:rPr>
      <w:rFonts w:eastAsia="Times New Roman"/>
      <w:b/>
      <w:bCs/>
      <w:szCs w:val="28"/>
      <w:lang w:eastAsia="zh-CN"/>
    </w:rPr>
  </w:style>
  <w:style w:type="character" w:styleId="WW8Num2z0" w:customStyle="1">
    <w:name w:val="WW8Num2z0"/>
    <w:qFormat/>
    <w:rPr>
      <w:rFonts w:ascii="Times New Roman" w:hAnsi="Times New Roman" w:eastAsia="Times New Roman" w:cs="Times New Roman"/>
      <w:szCs w:val="28"/>
      <w:lang w:eastAsia="zh-CN"/>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rFonts w:eastAsia="Times New Roman"/>
      <w:b/>
      <w:bCs/>
      <w:szCs w:val="28"/>
      <w:lang w:eastAsia="zh-CN"/>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LibreOffice/7.2.2.2$Windows_X86_64 LibreOffice_project/02b2acce88a210515b4a5bb2e46cbfb63fe97d56</Application>
  <AppVersion>15.0000</AppVersion>
  <Pages>8</Pages>
  <Words>2411</Words>
  <Characters>15982</Characters>
  <CharactersWithSpaces>19188</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2022-12-13T14:12:37Z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