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22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24"/>
        <w:gridCol w:w="3190"/>
        <w:gridCol w:w="3192"/>
      </w:tblGrid>
      <w:tr>
        <w:trPr/>
        <w:tc>
          <w:tcPr>
            <w:tcW w:w="322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07 грудня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0"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2"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40-22/2022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t xml:space="preserve">Про розгляд заяв громадян щодо </w:t>
      </w:r>
      <w:bookmarkStart w:id="0" w:name="_Hlk100756423"/>
      <w:r>
        <w:rPr>
          <w:rFonts w:ascii="Times New Roman" w:hAnsi="Times New Roman"/>
          <w:color w:val="000000"/>
          <w:sz w:val="28"/>
          <w:szCs w:val="28"/>
        </w:rPr>
        <w:t>надання дозволу</w:t>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t>на виготовлення документації із землеустрою</w:t>
      </w:r>
      <w:bookmarkEnd w:id="0"/>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t>з подальшою передачею земельних ділянок безоплатно</w:t>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t xml:space="preserve">у власність та в користування на умовах оренди </w:t>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t>на території Славутської міської  територіальної громади</w:t>
      </w:r>
    </w:p>
    <w:p>
      <w:pPr>
        <w:pStyle w:val="Normal"/>
        <w:rPr>
          <w:rFonts w:ascii="Times New Roman" w:hAnsi="Times New Roman"/>
          <w:color w:val="000000"/>
          <w:sz w:val="28"/>
          <w:szCs w:val="28"/>
        </w:rPr>
      </w:pPr>
      <w:r>
        <w:rPr>
          <w:rFonts w:ascii="Times New Roman" w:hAnsi="Times New Roman"/>
          <w:color w:val="000000"/>
          <w:sz w:val="28"/>
          <w:szCs w:val="28"/>
        </w:rPr>
      </w:r>
    </w:p>
    <w:p>
      <w:pPr>
        <w:pStyle w:val="1"/>
        <w:rPr>
          <w:rFonts w:ascii="Times New Roman" w:hAnsi="Times New Roman"/>
          <w:color w:val="000000"/>
          <w:sz w:val="28"/>
        </w:rPr>
      </w:pPr>
      <w:r>
        <w:rPr>
          <w:rFonts w:ascii="Times New Roman" w:hAnsi="Times New Roman"/>
          <w:color w:val="000000"/>
          <w:sz w:val="28"/>
        </w:rPr>
        <w:t xml:space="preserve">Розглянувши заяви громадян щодо надання дозволу на виготовлення проектів землеустрою щодо відведення земельних ділянок з наступною передачею їх безоплатно у власність та в користування на умовах оренди, графічні матеріали, на яких зазначено бажане місце розташування земельної ділянки, керуючись підпунктом 5 пункту 27 Перехідних положень Земельного кодексу України, Законом України від 19.10.2022 № 2698-ІХ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враховуючи, що на вказаних  земельних  ділянках  знаходяться </w:t>
      </w:r>
      <w:r>
        <w:rPr>
          <w:rFonts w:eastAsia="Times New Roman" w:cs="Times New Roman" w:ascii="Times New Roman" w:hAnsi="Times New Roman"/>
          <w:color w:val="000000"/>
          <w:sz w:val="28"/>
          <w:lang w:bidi="ar-SA"/>
        </w:rPr>
        <w:t>об’єкти нерухомого майна (будівлі, споруди), які перебувають у власності громадян</w:t>
      </w:r>
      <w:r>
        <w:rPr>
          <w:rFonts w:ascii="Times New Roman" w:hAnsi="Times New Roman"/>
          <w:color w:val="000000"/>
          <w:sz w:val="28"/>
        </w:rPr>
        <w:t>,  ст. ст. 12, 40, 116, 118, 121, 122 Земельного кодексу України, ст. ст. 19, 22, 50 Закону України «Про землеустрій», п.34 ч.1 ст.26 Закону України «Про місцеве самоврядування в Україні», міська рада ВИРІШИЛА:</w:t>
      </w:r>
    </w:p>
    <w:p>
      <w:pPr>
        <w:pStyle w:val="1"/>
        <w:rPr>
          <w:rFonts w:ascii="Times New Roman" w:hAnsi="Times New Roman"/>
          <w:color w:val="000000"/>
          <w:sz w:val="28"/>
        </w:rPr>
      </w:pPr>
      <w:r>
        <w:rPr>
          <w:rFonts w:ascii="Times New Roman" w:hAnsi="Times New Roman"/>
          <w:color w:val="000000"/>
          <w:sz w:val="28"/>
        </w:rPr>
      </w:r>
    </w:p>
    <w:p>
      <w:pPr>
        <w:pStyle w:val="1"/>
        <w:rPr>
          <w:rFonts w:ascii="Times New Roman" w:hAnsi="Times New Roman"/>
          <w:color w:val="000000"/>
          <w:sz w:val="28"/>
        </w:rPr>
      </w:pPr>
      <w:r>
        <w:rPr>
          <w:rFonts w:ascii="Times New Roman" w:hAnsi="Times New Roman"/>
          <w:color w:val="000000"/>
          <w:sz w:val="28"/>
        </w:rPr>
        <w:t>1.Надати дозвіл н</w:t>
      </w:r>
      <w:r>
        <w:rPr>
          <w:rFonts w:cs="Times New Roman" w:ascii="Times New Roman" w:hAnsi="Times New Roman"/>
          <w:color w:val="000000"/>
          <w:sz w:val="28"/>
        </w:rPr>
        <w:t xml:space="preserve">а виготовлення </w:t>
      </w:r>
      <w:r>
        <w:rPr>
          <w:rFonts w:ascii="Times New Roman" w:hAnsi="Times New Roman"/>
          <w:color w:val="000000"/>
          <w:sz w:val="28"/>
        </w:rPr>
        <w:t>проекту землеустрою щодо відведення земельної ділянки для будівництва індивідуального гаража наступним громадянам згідно поданих схем із зазначенням бажаного місця розташування земельних ділянок:</w:t>
      </w:r>
    </w:p>
    <w:p>
      <w:pPr>
        <w:pStyle w:val="Normal"/>
        <w:ind w:firstLine="851"/>
        <w:jc w:val="both"/>
        <w:rPr>
          <w:rFonts w:ascii="Times New Roman" w:hAnsi="Times New Roman" w:eastAsia="Times New Roman" w:cs="Times New Roman"/>
          <w:kern w:val="0"/>
          <w:sz w:val="28"/>
          <w:szCs w:val="28"/>
          <w:lang w:bidi="ar-SA"/>
        </w:rPr>
      </w:pPr>
      <w:r>
        <w:rPr>
          <w:rFonts w:cs="Times New Roman" w:ascii="Times New Roman" w:hAnsi="Times New Roman"/>
          <w:color w:val="000000"/>
          <w:sz w:val="28"/>
          <w:szCs w:val="28"/>
        </w:rPr>
        <w:t>1.1.ПЕТРУК Аллі Степанівні</w:t>
      </w:r>
      <w:r>
        <w:rPr>
          <w:rFonts w:cs="Times New Roman" w:ascii="Times New Roman" w:hAnsi="Times New Roman"/>
          <w:sz w:val="28"/>
          <w:szCs w:val="28"/>
        </w:rPr>
        <w:t xml:space="preserve">  на  земельну ділянку площею до 30</w:t>
      </w:r>
      <w:bookmarkStart w:id="1" w:name="_GoBack"/>
      <w:bookmarkEnd w:id="1"/>
      <w:r>
        <w:rPr>
          <w:rFonts w:cs="Times New Roman" w:ascii="Times New Roman" w:hAnsi="Times New Roman"/>
          <w:sz w:val="28"/>
          <w:szCs w:val="28"/>
        </w:rPr>
        <w:t xml:space="preserve"> кв.м в ГТ «Ветеран» в м. Славуті </w:t>
      </w:r>
      <w:r>
        <w:rPr>
          <w:rFonts w:eastAsia="Times New Roman" w:cs="Times New Roman" w:ascii="Times New Roman" w:hAnsi="Times New Roman"/>
          <w:kern w:val="0"/>
          <w:sz w:val="28"/>
          <w:szCs w:val="28"/>
          <w:lang w:bidi="ar-SA"/>
        </w:rPr>
        <w:t xml:space="preserve"> з подальшою передачею її в користування на умовах оренди.</w:t>
      </w:r>
    </w:p>
    <w:p>
      <w:pPr>
        <w:pStyle w:val="Normal"/>
        <w:ind w:firstLine="851"/>
        <w:jc w:val="both"/>
        <w:rPr>
          <w:rFonts w:ascii="Times New Roman" w:hAnsi="Times New Roman" w:eastAsia="Times New Roman" w:cs="Times New Roman"/>
          <w:kern w:val="0"/>
          <w:sz w:val="28"/>
          <w:szCs w:val="28"/>
          <w:lang w:bidi="ar-SA"/>
        </w:rPr>
      </w:pPr>
      <w:bookmarkStart w:id="2" w:name="_Hlk100902991"/>
      <w:bookmarkEnd w:id="2"/>
      <w:r>
        <w:rPr>
          <w:rFonts w:eastAsia="Times New Roman" w:cs="Times New Roman" w:ascii="Times New Roman" w:hAnsi="Times New Roman"/>
          <w:kern w:val="0"/>
          <w:sz w:val="28"/>
          <w:szCs w:val="28"/>
          <w:lang w:bidi="ar-SA"/>
        </w:rPr>
        <w:t>1.2. АНДРОЩУК Марії Петрівні  на  земельну ділянку площею до 30 кв.м по вул. Захисників України (гаражний масив) в м. Славуті  з наступною передачею її безоплатно у власність.</w:t>
      </w:r>
    </w:p>
    <w:p>
      <w:pPr>
        <w:pStyle w:val="Normal"/>
        <w:ind w:firstLine="851"/>
        <w:jc w:val="both"/>
        <w:rPr>
          <w:rFonts w:ascii="Times New Roman" w:hAnsi="Times New Roman" w:eastAsia="Times New Roman" w:cs="Times New Roman"/>
          <w:kern w:val="0"/>
          <w:sz w:val="28"/>
          <w:szCs w:val="28"/>
          <w:lang w:bidi="ar-SA"/>
        </w:rPr>
      </w:pPr>
      <w:bookmarkStart w:id="3" w:name="_Hlk1009029911"/>
      <w:bookmarkEnd w:id="3"/>
      <w:r>
        <w:rPr>
          <w:rFonts w:eastAsia="Times New Roman" w:cs="Times New Roman" w:ascii="Times New Roman" w:hAnsi="Times New Roman"/>
          <w:kern w:val="0"/>
          <w:sz w:val="28"/>
          <w:szCs w:val="28"/>
          <w:lang w:bidi="ar-SA"/>
        </w:rPr>
        <w:t>1.3. ЯЦИШИНУ Руслану Григоровичу  на  земельну ділянку площею до 30 кв.м в ГТ “Ветеран” в м. Славуті  з наступною передачею її безоплатно у власність.</w:t>
      </w:r>
    </w:p>
    <w:p>
      <w:pPr>
        <w:pStyle w:val="Normal"/>
        <w:ind w:firstLine="851"/>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ind w:firstLine="851"/>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ind w:firstLine="851"/>
        <w:jc w:val="both"/>
        <w:rPr>
          <w:rFonts w:ascii="Times New Roman" w:hAnsi="Times New Roman"/>
          <w:color w:val="000000"/>
          <w:sz w:val="28"/>
          <w:szCs w:val="28"/>
        </w:rPr>
      </w:pPr>
      <w:r>
        <w:rPr>
          <w:rFonts w:ascii="Times New Roman" w:hAnsi="Times New Roman"/>
          <w:color w:val="000000"/>
          <w:sz w:val="28"/>
          <w:szCs w:val="28"/>
        </w:rPr>
        <w:t>2.Громадянам, зазначених в пункті 1 цього рішення, звернутися до юридичних або фізичних осіб-підприємців, що мають право на виготовлення документації із землеустрою, розроблену документацію подати на затвердження до Славутської міської ради в порядку, визначеному законодавством</w:t>
      </w:r>
    </w:p>
    <w:p>
      <w:pPr>
        <w:pStyle w:val="Normal"/>
        <w:ind w:firstLine="907"/>
        <w:jc w:val="both"/>
        <w:rPr>
          <w:rFonts w:ascii="Times New Roman" w:hAnsi="Times New Roman"/>
          <w:sz w:val="28"/>
          <w:szCs w:val="28"/>
        </w:rPr>
      </w:pPr>
      <w:r>
        <w:rPr>
          <w:rFonts w:ascii="Times New Roman" w:hAnsi="Times New Roman"/>
          <w:sz w:val="28"/>
          <w:szCs w:val="28"/>
        </w:rPr>
        <w:t xml:space="preserve">3.Контроль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pPr>
        <w:pStyle w:val="Normal"/>
        <w:ind w:firstLine="907"/>
        <w:jc w:val="both"/>
        <w:rPr>
          <w:rFonts w:ascii="Times New Roman" w:hAnsi="Times New Roman"/>
          <w:sz w:val="28"/>
          <w:szCs w:val="28"/>
        </w:rPr>
      </w:pPr>
      <w:r>
        <w:rPr>
          <w:rFonts w:ascii="Times New Roman" w:hAnsi="Times New Roman"/>
          <w:sz w:val="28"/>
          <w:szCs w:val="28"/>
        </w:rPr>
      </w:r>
    </w:p>
    <w:p>
      <w:pPr>
        <w:pStyle w:val="Normal"/>
        <w:ind w:firstLine="907"/>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Міський голова                            </w:t>
        <w:tab/>
        <w:t xml:space="preserve">  </w:t>
        <w:tab/>
        <w:tab/>
        <w:t xml:space="preserve">                 Василь СИДОР</w:t>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rPr>
          <w:rFonts w:ascii="Times New Roman" w:hAnsi="Times New Roman" w:eastAsia="Times New Roman" w:cs="Times New Roman"/>
          <w:kern w:val="0"/>
          <w:sz w:val="28"/>
          <w:szCs w:val="28"/>
          <w:lang w:bidi="ar-SA"/>
        </w:rPr>
      </w:pPr>
      <w:r>
        <w:rPr/>
      </w:r>
    </w:p>
    <w:sectPr>
      <w:type w:val="nextPage"/>
      <w:pgSz w:w="11906" w:h="16838"/>
      <w:pgMar w:left="1560" w:right="761" w:gutter="0" w:header="0" w:top="709"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4"/>
    <w:next w:val="Style15"/>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link w:val="aa"/>
    <w:uiPriority w:val="99"/>
    <w:semiHidden/>
    <w:qFormat/>
    <w:rsid w:val="00043238"/>
    <w:rPr>
      <w:rFonts w:ascii="Segoe UI" w:hAnsi="Segoe UI" w:cs="Mangal"/>
      <w:sz w:val="18"/>
      <w:szCs w:val="16"/>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paragraph" w:styleId="Style19" w:customStyle="1">
    <w:name w:val="Вміст таблиці"/>
    <w:basedOn w:val="Normal"/>
    <w:qFormat/>
    <w:pPr>
      <w:suppressLineNumbers/>
    </w:pPr>
    <w:rPr/>
  </w:style>
  <w:style w:type="paragraph" w:styleId="Style20" w:customStyle="1">
    <w:name w:val="Заголовок таблиці"/>
    <w:basedOn w:val="Style19"/>
    <w:qFormat/>
    <w:pPr>
      <w:jc w:val="center"/>
    </w:pPr>
    <w:rPr>
      <w:b/>
      <w:bCs/>
    </w:rPr>
  </w:style>
  <w:style w:type="paragraph" w:styleId="BalloonText">
    <w:name w:val="Balloon Text"/>
    <w:basedOn w:val="Normal"/>
    <w:link w:val="ab"/>
    <w:uiPriority w:val="99"/>
    <w:semiHidden/>
    <w:unhideWhenUsed/>
    <w:qFormat/>
    <w:rsid w:val="00043238"/>
    <w:pPr/>
    <w:rPr>
      <w:rFonts w:ascii="Segoe UI" w:hAnsi="Segoe UI" w:cs="Mangal"/>
      <w:sz w:val="18"/>
      <w:szCs w:val="16"/>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Application>LibreOffice/7.2.2.2$Windows_X86_64 LibreOffice_project/02b2acce88a210515b4a5bb2e46cbfb63fe97d56</Application>
  <AppVersion>15.0000</AppVersion>
  <Pages>2</Pages>
  <Words>362</Words>
  <Characters>2302</Characters>
  <CharactersWithSpaces>2732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2022-12-13T14:13:54Z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